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3E574" w14:textId="77777777" w:rsidR="00B16CF5" w:rsidRPr="00EB7B27" w:rsidRDefault="00B16CF5" w:rsidP="00B16CF5">
      <w:pPr>
        <w:pStyle w:val="Heading1"/>
        <w:spacing w:before="0" w:after="0" w:line="240" w:lineRule="auto"/>
        <w:rPr>
          <w:b w:val="0"/>
          <w:color w:val="041243"/>
          <w:sz w:val="12"/>
        </w:rPr>
      </w:pPr>
    </w:p>
    <w:p w14:paraId="3052FFC8" w14:textId="1DF74A8E" w:rsidR="00372FC9" w:rsidRPr="003629B0" w:rsidRDefault="00372FC9" w:rsidP="0073017E">
      <w:pPr>
        <w:pStyle w:val="Heading1"/>
        <w:spacing w:before="0"/>
        <w:rPr>
          <w:color w:val="041243"/>
        </w:rPr>
      </w:pPr>
      <w:r w:rsidRPr="003629B0">
        <w:rPr>
          <w:color w:val="041243"/>
        </w:rPr>
        <w:t>Introduction</w:t>
      </w:r>
    </w:p>
    <w:p w14:paraId="7B2B7AF6" w14:textId="497DF522" w:rsidR="00525946" w:rsidRDefault="00C30116" w:rsidP="00D410FE">
      <w:pPr>
        <w:pStyle w:val="FedBody1013"/>
        <w:spacing w:after="240"/>
      </w:pPr>
      <w:r>
        <w:t>These</w:t>
      </w:r>
      <w:r w:rsidR="00823000">
        <w:t xml:space="preserve"> </w:t>
      </w:r>
      <w:r w:rsidR="009D665E">
        <w:t>Frequently Asked Questions (</w:t>
      </w:r>
      <w:r w:rsidR="00823000">
        <w:t>FAQ</w:t>
      </w:r>
      <w:r>
        <w:t>s</w:t>
      </w:r>
      <w:r w:rsidR="009D665E">
        <w:t>)</w:t>
      </w:r>
      <w:r>
        <w:t xml:space="preserve"> </w:t>
      </w:r>
      <w:r w:rsidR="00BE64E6">
        <w:t xml:space="preserve">have been formulated </w:t>
      </w:r>
      <w:r w:rsidR="00823000">
        <w:t xml:space="preserve">to answer some of the questions </w:t>
      </w:r>
      <w:r>
        <w:t xml:space="preserve">you may have </w:t>
      </w:r>
      <w:r w:rsidR="00823000">
        <w:t xml:space="preserve">in relation to </w:t>
      </w:r>
      <w:r>
        <w:t xml:space="preserve">the </w:t>
      </w:r>
      <w:r w:rsidR="003F127E">
        <w:t>new Academic Promotion for Levels C, D, and E Policy and Procedure.</w:t>
      </w:r>
      <w:r>
        <w:t xml:space="preserve"> </w:t>
      </w:r>
    </w:p>
    <w:tbl>
      <w:tblPr>
        <w:tblStyle w:val="TableGrid"/>
        <w:tblW w:w="10036" w:type="dxa"/>
        <w:tblBorders>
          <w:insideV w:val="single" w:sz="4" w:space="0" w:color="D9D9D9" w:themeColor="background1" w:themeShade="D9"/>
        </w:tblBorders>
        <w:tblLook w:val="04A0" w:firstRow="1" w:lastRow="0" w:firstColumn="1" w:lastColumn="0" w:noHBand="0" w:noVBand="1"/>
      </w:tblPr>
      <w:tblGrid>
        <w:gridCol w:w="3119"/>
        <w:gridCol w:w="6917"/>
      </w:tblGrid>
      <w:tr w:rsidR="00DB5DF7" w:rsidRPr="00DB5DF7" w14:paraId="6E447DC0" w14:textId="77777777" w:rsidTr="003629B0">
        <w:trPr>
          <w:tblHeader/>
        </w:trPr>
        <w:tc>
          <w:tcPr>
            <w:tcW w:w="3119" w:type="dxa"/>
            <w:tcBorders>
              <w:right w:val="nil"/>
            </w:tcBorders>
            <w:shd w:val="clear" w:color="auto" w:fill="041243"/>
            <w:vAlign w:val="center"/>
          </w:tcPr>
          <w:p w14:paraId="4E19315E" w14:textId="77777777" w:rsidR="00DB5DF7" w:rsidRPr="00DB5DF7" w:rsidRDefault="00DB5DF7" w:rsidP="00EB7B27">
            <w:pPr>
              <w:pStyle w:val="FedL1Heading"/>
              <w:spacing w:before="100" w:line="240" w:lineRule="atLeast"/>
              <w:ind w:right="175"/>
              <w:rPr>
                <w:color w:val="FFFFFF" w:themeColor="background1"/>
                <w:sz w:val="24"/>
              </w:rPr>
            </w:pPr>
            <w:r w:rsidRPr="00DB5DF7">
              <w:rPr>
                <w:color w:val="FFFFFF" w:themeColor="background1"/>
                <w:sz w:val="24"/>
              </w:rPr>
              <w:t>Question</w:t>
            </w:r>
          </w:p>
        </w:tc>
        <w:tc>
          <w:tcPr>
            <w:tcW w:w="6917" w:type="dxa"/>
            <w:tcBorders>
              <w:left w:val="nil"/>
            </w:tcBorders>
            <w:shd w:val="clear" w:color="auto" w:fill="041243"/>
            <w:vAlign w:val="center"/>
          </w:tcPr>
          <w:p w14:paraId="3787C2AF" w14:textId="77777777" w:rsidR="00DB5DF7" w:rsidRPr="00DB5DF7" w:rsidRDefault="00DB5DF7" w:rsidP="00EB7B27">
            <w:pPr>
              <w:pStyle w:val="FedL1Heading"/>
              <w:spacing w:before="100" w:line="240" w:lineRule="atLeast"/>
              <w:ind w:left="36" w:right="149"/>
              <w:rPr>
                <w:color w:val="FFFFFF" w:themeColor="background1"/>
                <w:sz w:val="24"/>
              </w:rPr>
            </w:pPr>
            <w:r w:rsidRPr="00DB5DF7">
              <w:rPr>
                <w:color w:val="FFFFFF" w:themeColor="background1"/>
                <w:sz w:val="24"/>
              </w:rPr>
              <w:t>Answer</w:t>
            </w:r>
          </w:p>
        </w:tc>
      </w:tr>
      <w:tr w:rsidR="0073017E" w14:paraId="1267FE03" w14:textId="77777777" w:rsidTr="00F2215D">
        <w:tc>
          <w:tcPr>
            <w:tcW w:w="3119" w:type="dxa"/>
            <w:tcBorders>
              <w:right w:val="nil"/>
            </w:tcBorders>
          </w:tcPr>
          <w:p w14:paraId="12A86408" w14:textId="34319AEA" w:rsidR="0073017E" w:rsidRPr="00CE63EE" w:rsidRDefault="003F127E" w:rsidP="00EB7B27">
            <w:pPr>
              <w:pStyle w:val="FedBody1013"/>
              <w:spacing w:line="240" w:lineRule="atLeast"/>
              <w:ind w:right="175"/>
              <w:rPr>
                <w:b/>
                <w:color w:val="333333"/>
              </w:rPr>
            </w:pPr>
            <w:r>
              <w:rPr>
                <w:b/>
                <w:color w:val="333333"/>
              </w:rPr>
              <w:t>Can I apply in 2019 if I applied and was unsuccessful in 2018?</w:t>
            </w:r>
          </w:p>
        </w:tc>
        <w:tc>
          <w:tcPr>
            <w:tcW w:w="6917" w:type="dxa"/>
            <w:tcBorders>
              <w:left w:val="nil"/>
            </w:tcBorders>
          </w:tcPr>
          <w:p w14:paraId="61123429" w14:textId="40248BAD" w:rsidR="0037196B" w:rsidRPr="00F3034B" w:rsidRDefault="003F127E" w:rsidP="00EB7B27">
            <w:pPr>
              <w:pStyle w:val="FedBody1013"/>
              <w:spacing w:after="140" w:line="240" w:lineRule="atLeast"/>
              <w:ind w:left="32" w:right="149"/>
              <w:rPr>
                <w:color w:val="333333"/>
              </w:rPr>
            </w:pPr>
            <w:r>
              <w:rPr>
                <w:color w:val="333333"/>
              </w:rPr>
              <w:t xml:space="preserve">You will be ineligible to apply the year following an unsuccessful application. </w:t>
            </w:r>
            <w:r w:rsidR="00362AF9">
              <w:rPr>
                <w:color w:val="333333"/>
              </w:rPr>
              <w:t xml:space="preserve"> </w:t>
            </w:r>
            <w:r>
              <w:rPr>
                <w:color w:val="333333"/>
              </w:rPr>
              <w:t xml:space="preserve">Applicants are highly encouraged to discuss timing or promotion plans with their Dean/Director. </w:t>
            </w:r>
            <w:r w:rsidR="00362AF9">
              <w:rPr>
                <w:color w:val="333333"/>
              </w:rPr>
              <w:t xml:space="preserve"> </w:t>
            </w:r>
            <w:r>
              <w:rPr>
                <w:color w:val="333333"/>
              </w:rPr>
              <w:t>In exceptional circumstances, the Deputy Vice-Chancellor (Academic) may approve an application from a staff member, supported by the Dean</w:t>
            </w:r>
            <w:r w:rsidR="00362AF9">
              <w:rPr>
                <w:color w:val="333333"/>
              </w:rPr>
              <w:t>,</w:t>
            </w:r>
            <w:r>
              <w:rPr>
                <w:color w:val="333333"/>
              </w:rPr>
              <w:t xml:space="preserve"> the year following an unsuccessful application.</w:t>
            </w:r>
          </w:p>
        </w:tc>
      </w:tr>
      <w:tr w:rsidR="00E464DE" w14:paraId="3590487F" w14:textId="77777777" w:rsidTr="00F2215D">
        <w:tc>
          <w:tcPr>
            <w:tcW w:w="3119" w:type="dxa"/>
            <w:tcBorders>
              <w:right w:val="nil"/>
            </w:tcBorders>
          </w:tcPr>
          <w:p w14:paraId="1E2CEEB0" w14:textId="67AB9477" w:rsidR="00E464DE" w:rsidRPr="00AD53B9" w:rsidRDefault="003F127E" w:rsidP="00EB7B27">
            <w:pPr>
              <w:pStyle w:val="FedBody1013"/>
              <w:spacing w:line="240" w:lineRule="atLeast"/>
              <w:ind w:left="32" w:right="175"/>
              <w:rPr>
                <w:b/>
                <w:color w:val="333333"/>
              </w:rPr>
            </w:pPr>
            <w:r>
              <w:rPr>
                <w:b/>
                <w:color w:val="333333"/>
              </w:rPr>
              <w:t>What if my Dean does not support my application?</w:t>
            </w:r>
          </w:p>
        </w:tc>
        <w:tc>
          <w:tcPr>
            <w:tcW w:w="6917" w:type="dxa"/>
            <w:tcBorders>
              <w:left w:val="nil"/>
            </w:tcBorders>
          </w:tcPr>
          <w:p w14:paraId="3CCD9314" w14:textId="074C8AB2" w:rsidR="00E464DE" w:rsidRPr="00D71052" w:rsidRDefault="003F127E" w:rsidP="00EB7B27">
            <w:pPr>
              <w:pStyle w:val="FedBody1013"/>
              <w:spacing w:after="140" w:line="240" w:lineRule="atLeast"/>
              <w:ind w:left="32" w:right="149"/>
              <w:rPr>
                <w:color w:val="333333"/>
              </w:rPr>
            </w:pPr>
            <w:r>
              <w:rPr>
                <w:color w:val="333333"/>
              </w:rPr>
              <w:t>It is rare to have Deans not support an application</w:t>
            </w:r>
            <w:r w:rsidR="00362AF9">
              <w:rPr>
                <w:color w:val="333333"/>
              </w:rPr>
              <w:t>,</w:t>
            </w:r>
            <w:r>
              <w:rPr>
                <w:color w:val="333333"/>
              </w:rPr>
              <w:t xml:space="preserve"> as a discussion should have commenced prior to the application taking place. </w:t>
            </w:r>
            <w:r w:rsidR="00362AF9">
              <w:rPr>
                <w:color w:val="333333"/>
              </w:rPr>
              <w:t xml:space="preserve"> </w:t>
            </w:r>
            <w:r>
              <w:rPr>
                <w:color w:val="333333"/>
              </w:rPr>
              <w:t>The application can still be submitted to be assessed by the Committee.</w:t>
            </w:r>
          </w:p>
        </w:tc>
      </w:tr>
      <w:tr w:rsidR="00823000" w14:paraId="64249B03" w14:textId="77777777" w:rsidTr="00F2215D">
        <w:tc>
          <w:tcPr>
            <w:tcW w:w="3119" w:type="dxa"/>
            <w:tcBorders>
              <w:right w:val="nil"/>
            </w:tcBorders>
          </w:tcPr>
          <w:p w14:paraId="7D5E24D3" w14:textId="30450744" w:rsidR="00823000" w:rsidRPr="00AD53B9" w:rsidRDefault="003F127E" w:rsidP="00EB7B27">
            <w:pPr>
              <w:pStyle w:val="FedBody1013"/>
              <w:spacing w:line="240" w:lineRule="atLeast"/>
              <w:ind w:left="32" w:right="175"/>
              <w:rPr>
                <w:b/>
                <w:color w:val="333333"/>
              </w:rPr>
            </w:pPr>
            <w:r>
              <w:rPr>
                <w:b/>
                <w:color w:val="333333"/>
              </w:rPr>
              <w:t>How long do I have to have been at Federation University Australia to ap</w:t>
            </w:r>
            <w:r w:rsidR="00362AF9">
              <w:rPr>
                <w:b/>
                <w:color w:val="333333"/>
              </w:rPr>
              <w:t>ply for a promotion?</w:t>
            </w:r>
          </w:p>
        </w:tc>
        <w:tc>
          <w:tcPr>
            <w:tcW w:w="6917" w:type="dxa"/>
            <w:tcBorders>
              <w:left w:val="nil"/>
            </w:tcBorders>
          </w:tcPr>
          <w:p w14:paraId="1FB7AAEA" w14:textId="64495BC3" w:rsidR="00004C13" w:rsidRPr="00070BC3" w:rsidRDefault="003F127E" w:rsidP="00EB7B27">
            <w:pPr>
              <w:pStyle w:val="FedBody1013"/>
              <w:spacing w:after="140" w:line="240" w:lineRule="atLeast"/>
              <w:ind w:left="32" w:right="149"/>
              <w:rPr>
                <w:color w:val="333333"/>
              </w:rPr>
            </w:pPr>
            <w:r>
              <w:rPr>
                <w:color w:val="333333"/>
              </w:rPr>
              <w:t xml:space="preserve">You must have completed at least one year’s service at the </w:t>
            </w:r>
            <w:r w:rsidR="00362AF9">
              <w:rPr>
                <w:color w:val="333333"/>
              </w:rPr>
              <w:t>University</w:t>
            </w:r>
            <w:r>
              <w:rPr>
                <w:color w:val="333333"/>
              </w:rPr>
              <w:t xml:space="preserve">, at the date of the call for applications, and have successfully completed probation. </w:t>
            </w:r>
            <w:r w:rsidR="00362AF9">
              <w:rPr>
                <w:color w:val="333333"/>
              </w:rPr>
              <w:t xml:space="preserve"> </w:t>
            </w:r>
            <w:r>
              <w:rPr>
                <w:color w:val="333333"/>
              </w:rPr>
              <w:t xml:space="preserve">In addition, applicants must have participated in the </w:t>
            </w:r>
            <w:r w:rsidR="00362AF9">
              <w:rPr>
                <w:color w:val="333333"/>
              </w:rPr>
              <w:t>University’s</w:t>
            </w:r>
            <w:r>
              <w:rPr>
                <w:color w:val="333333"/>
              </w:rPr>
              <w:t xml:space="preserve"> Performance Review and Development Program (PRDP) (or probationary period) during the 12 months prior to the closing date of applications, and demonstrated at least satisfactory performance and profess</w:t>
            </w:r>
            <w:r w:rsidR="00A50B2D">
              <w:rPr>
                <w:color w:val="333333"/>
              </w:rPr>
              <w:t>ional development.</w:t>
            </w:r>
          </w:p>
        </w:tc>
      </w:tr>
      <w:tr w:rsidR="00823000" w14:paraId="59EB60E8" w14:textId="77777777" w:rsidTr="00F2215D">
        <w:tc>
          <w:tcPr>
            <w:tcW w:w="3119" w:type="dxa"/>
            <w:tcBorders>
              <w:right w:val="nil"/>
            </w:tcBorders>
          </w:tcPr>
          <w:p w14:paraId="37AD0647" w14:textId="76A686C4" w:rsidR="00823000" w:rsidRDefault="003F127E" w:rsidP="00EB7B27">
            <w:pPr>
              <w:pStyle w:val="FedBody1013"/>
              <w:spacing w:line="240" w:lineRule="atLeast"/>
              <w:ind w:left="32" w:right="175"/>
              <w:rPr>
                <w:b/>
                <w:color w:val="333333"/>
              </w:rPr>
            </w:pPr>
            <w:r>
              <w:rPr>
                <w:b/>
                <w:color w:val="333333"/>
              </w:rPr>
              <w:t>What is achievement relative to opportunity?</w:t>
            </w:r>
          </w:p>
        </w:tc>
        <w:tc>
          <w:tcPr>
            <w:tcW w:w="6917" w:type="dxa"/>
            <w:tcBorders>
              <w:left w:val="nil"/>
            </w:tcBorders>
          </w:tcPr>
          <w:p w14:paraId="03D693A9" w14:textId="550788B5" w:rsidR="00070BC3" w:rsidRPr="00A50B2D" w:rsidRDefault="003F127E" w:rsidP="00EB7B27">
            <w:pPr>
              <w:pStyle w:val="FedBody1013"/>
              <w:spacing w:after="140" w:line="240" w:lineRule="atLeast"/>
              <w:ind w:left="32" w:right="149"/>
              <w:rPr>
                <w:color w:val="333333"/>
              </w:rPr>
            </w:pPr>
            <w:r>
              <w:rPr>
                <w:color w:val="333333"/>
              </w:rPr>
              <w:t>This section of the prescribed application provides academics with the opportunity to comment if they believe their work has been impacted by particular circumstances</w:t>
            </w:r>
            <w:r w:rsidR="00247FC5">
              <w:rPr>
                <w:color w:val="333333"/>
              </w:rPr>
              <w:t xml:space="preserve"> and working arrangements</w:t>
            </w:r>
            <w:r>
              <w:rPr>
                <w:color w:val="333333"/>
              </w:rPr>
              <w:t xml:space="preserve">. </w:t>
            </w:r>
            <w:r w:rsidR="00362AF9">
              <w:rPr>
                <w:color w:val="333333"/>
              </w:rPr>
              <w:t xml:space="preserve"> </w:t>
            </w:r>
            <w:r>
              <w:rPr>
                <w:color w:val="333333"/>
              </w:rPr>
              <w:t>It is not about reducing the standards, as the quality of work needs to be maintained</w:t>
            </w:r>
            <w:r w:rsidR="00362AF9">
              <w:rPr>
                <w:color w:val="333333"/>
              </w:rPr>
              <w:t>,</w:t>
            </w:r>
            <w:r w:rsidR="00247FC5">
              <w:rPr>
                <w:color w:val="333333"/>
              </w:rPr>
              <w:t xml:space="preserve"> however, the quantity of outputs for a particular period of time may have been impacted. </w:t>
            </w:r>
            <w:r w:rsidR="00362AF9">
              <w:rPr>
                <w:color w:val="333333"/>
              </w:rPr>
              <w:t xml:space="preserve"> </w:t>
            </w:r>
            <w:r w:rsidR="00247FC5">
              <w:rPr>
                <w:color w:val="333333"/>
              </w:rPr>
              <w:t xml:space="preserve">Providing this information enables you to explain your circumstances to the committee, who will take this into account when assessing your achievements. </w:t>
            </w:r>
            <w:r w:rsidR="00362AF9">
              <w:rPr>
                <w:color w:val="333333"/>
              </w:rPr>
              <w:t xml:space="preserve"> </w:t>
            </w:r>
            <w:r w:rsidR="00247FC5">
              <w:rPr>
                <w:color w:val="333333"/>
              </w:rPr>
              <w:t xml:space="preserve">Examples include part-time or flexible work arrangements, including absence </w:t>
            </w:r>
            <w:r w:rsidR="00362AF9" w:rsidRPr="00563D8C">
              <w:rPr>
                <w:color w:val="333333"/>
              </w:rPr>
              <w:t>for</w:t>
            </w:r>
            <w:r w:rsidR="00247FC5">
              <w:rPr>
                <w:color w:val="333333"/>
              </w:rPr>
              <w:t xml:space="preserve"> parental leave, ill health and/or disability, whether temporary or permanent, carer’s responsibilities or other relevant </w:t>
            </w:r>
            <w:r w:rsidR="00A50B2D">
              <w:rPr>
                <w:color w:val="333333"/>
              </w:rPr>
              <w:t>circumstances.</w:t>
            </w:r>
          </w:p>
        </w:tc>
      </w:tr>
      <w:tr w:rsidR="00525946" w14:paraId="4DD765E0" w14:textId="77777777" w:rsidTr="00F2215D">
        <w:tc>
          <w:tcPr>
            <w:tcW w:w="3119" w:type="dxa"/>
            <w:tcBorders>
              <w:right w:val="nil"/>
            </w:tcBorders>
          </w:tcPr>
          <w:p w14:paraId="35F18C0F" w14:textId="77777777" w:rsidR="00525946" w:rsidRDefault="00247FC5" w:rsidP="00EB7B27">
            <w:pPr>
              <w:pStyle w:val="FedBody1013"/>
              <w:spacing w:line="240" w:lineRule="atLeast"/>
              <w:ind w:right="175"/>
              <w:rPr>
                <w:b/>
                <w:color w:val="333333"/>
              </w:rPr>
            </w:pPr>
            <w:r>
              <w:rPr>
                <w:b/>
                <w:color w:val="333333"/>
              </w:rPr>
              <w:t>Do I need to rank all Areas of Achievement?</w:t>
            </w:r>
          </w:p>
        </w:tc>
        <w:tc>
          <w:tcPr>
            <w:tcW w:w="6917" w:type="dxa"/>
            <w:tcBorders>
              <w:left w:val="nil"/>
            </w:tcBorders>
          </w:tcPr>
          <w:p w14:paraId="0E96E4E2" w14:textId="72EF3F91" w:rsidR="00525946" w:rsidRDefault="00247FC5" w:rsidP="00EB7B27">
            <w:pPr>
              <w:pStyle w:val="FedBody1013"/>
              <w:spacing w:after="140" w:line="240" w:lineRule="atLeast"/>
              <w:ind w:left="32" w:right="149"/>
              <w:rPr>
                <w:color w:val="333333"/>
              </w:rPr>
            </w:pPr>
            <w:r>
              <w:rPr>
                <w:color w:val="333333"/>
              </w:rPr>
              <w:t xml:space="preserve">Applicants must self-nominate the ranking profile for their application based on the three areas of achievement. </w:t>
            </w:r>
            <w:r w:rsidR="00362AF9">
              <w:rPr>
                <w:color w:val="333333"/>
              </w:rPr>
              <w:t xml:space="preserve"> </w:t>
            </w:r>
            <w:r>
              <w:rPr>
                <w:color w:val="333333"/>
              </w:rPr>
              <w:t xml:space="preserve">Ranking should be based on the order in which an applicant would like their application to be assessed. </w:t>
            </w:r>
            <w:r w:rsidR="00362AF9">
              <w:rPr>
                <w:color w:val="333333"/>
              </w:rPr>
              <w:t xml:space="preserve"> </w:t>
            </w:r>
            <w:r>
              <w:rPr>
                <w:color w:val="333333"/>
              </w:rPr>
              <w:t xml:space="preserve">For example, the first rank is the area in which the applicant would like the primary focus to be given in their assessment etc. </w:t>
            </w:r>
            <w:r w:rsidR="00362AF9">
              <w:rPr>
                <w:color w:val="333333"/>
              </w:rPr>
              <w:t xml:space="preserve"> </w:t>
            </w:r>
            <w:r>
              <w:rPr>
                <w:color w:val="333333"/>
              </w:rPr>
              <w:t xml:space="preserve">For </w:t>
            </w:r>
            <w:r w:rsidR="005E00E4">
              <w:rPr>
                <w:color w:val="333333"/>
              </w:rPr>
              <w:t>‘</w:t>
            </w:r>
            <w:r w:rsidR="00362AF9">
              <w:rPr>
                <w:color w:val="333333"/>
              </w:rPr>
              <w:t>research-</w:t>
            </w:r>
            <w:r>
              <w:rPr>
                <w:color w:val="333333"/>
              </w:rPr>
              <w:t>only</w:t>
            </w:r>
            <w:r w:rsidR="005E00E4">
              <w:rPr>
                <w:color w:val="333333"/>
              </w:rPr>
              <w:t>’</w:t>
            </w:r>
            <w:r>
              <w:rPr>
                <w:color w:val="333333"/>
              </w:rPr>
              <w:t xml:space="preserve"> appointments, the </w:t>
            </w:r>
            <w:r w:rsidR="005E00E4">
              <w:rPr>
                <w:color w:val="333333"/>
              </w:rPr>
              <w:t>L</w:t>
            </w:r>
            <w:r>
              <w:rPr>
                <w:color w:val="333333"/>
              </w:rPr>
              <w:t xml:space="preserve">earning and </w:t>
            </w:r>
            <w:r w:rsidR="005E00E4">
              <w:rPr>
                <w:color w:val="333333"/>
              </w:rPr>
              <w:t>T</w:t>
            </w:r>
            <w:r>
              <w:rPr>
                <w:color w:val="333333"/>
              </w:rPr>
              <w:t>eaching area of achieveme</w:t>
            </w:r>
            <w:r w:rsidR="00A50B2D">
              <w:rPr>
                <w:color w:val="333333"/>
              </w:rPr>
              <w:t>nt is not required to be ranked.</w:t>
            </w:r>
          </w:p>
        </w:tc>
      </w:tr>
      <w:tr w:rsidR="00AD03E5" w14:paraId="6A4DD6BD" w14:textId="77777777" w:rsidTr="00EB7B27">
        <w:tc>
          <w:tcPr>
            <w:tcW w:w="3119" w:type="dxa"/>
            <w:tcBorders>
              <w:right w:val="nil"/>
            </w:tcBorders>
          </w:tcPr>
          <w:p w14:paraId="27D0AC2D" w14:textId="77777777" w:rsidR="00EB7B27" w:rsidRDefault="005E00E4" w:rsidP="00EB7B27">
            <w:pPr>
              <w:pStyle w:val="FedBody1013"/>
              <w:spacing w:line="240" w:lineRule="atLeast"/>
              <w:ind w:left="32" w:right="175"/>
              <w:rPr>
                <w:b/>
                <w:color w:val="333333"/>
              </w:rPr>
            </w:pPr>
            <w:r>
              <w:rPr>
                <w:b/>
                <w:color w:val="333333"/>
              </w:rPr>
              <w:t>Do I need to nominate a referee and/or independent assessors?</w:t>
            </w:r>
          </w:p>
          <w:p w14:paraId="7C377326" w14:textId="77777777" w:rsidR="00EB7B27" w:rsidRDefault="00EB7B27" w:rsidP="00EB7B27">
            <w:pPr>
              <w:pStyle w:val="FedBody1013"/>
              <w:spacing w:line="240" w:lineRule="atLeast"/>
              <w:ind w:left="32" w:right="175"/>
              <w:rPr>
                <w:b/>
                <w:color w:val="333333"/>
              </w:rPr>
            </w:pPr>
          </w:p>
          <w:p w14:paraId="6A9B3450" w14:textId="38E1376D" w:rsidR="00AD03E5" w:rsidRPr="00EB7B27" w:rsidRDefault="00AD03E5" w:rsidP="00EB7B27">
            <w:pPr>
              <w:pStyle w:val="FedBody1013"/>
              <w:spacing w:line="240" w:lineRule="atLeast"/>
              <w:ind w:left="34" w:right="176"/>
              <w:rPr>
                <w:b/>
                <w:i/>
                <w:color w:val="333333"/>
              </w:rPr>
            </w:pPr>
          </w:p>
        </w:tc>
        <w:tc>
          <w:tcPr>
            <w:tcW w:w="6917" w:type="dxa"/>
            <w:tcBorders>
              <w:left w:val="nil"/>
            </w:tcBorders>
          </w:tcPr>
          <w:p w14:paraId="7814D490" w14:textId="1C9190D0" w:rsidR="00AD03E5" w:rsidRDefault="005E00E4" w:rsidP="00EB7B27">
            <w:pPr>
              <w:pStyle w:val="FedBody1013"/>
              <w:spacing w:line="240" w:lineRule="atLeast"/>
              <w:ind w:left="32" w:right="149"/>
              <w:rPr>
                <w:color w:val="333333"/>
              </w:rPr>
            </w:pPr>
            <w:r>
              <w:rPr>
                <w:color w:val="333333"/>
              </w:rPr>
              <w:t xml:space="preserve">If an applicant is applying for </w:t>
            </w:r>
            <w:r w:rsidR="00A50B2D">
              <w:rPr>
                <w:color w:val="333333"/>
              </w:rPr>
              <w:t>A</w:t>
            </w:r>
            <w:r>
              <w:rPr>
                <w:color w:val="333333"/>
              </w:rPr>
              <w:t xml:space="preserve">cademic </w:t>
            </w:r>
            <w:r w:rsidR="00A50B2D">
              <w:rPr>
                <w:color w:val="333333"/>
              </w:rPr>
              <w:t>L</w:t>
            </w:r>
            <w:r>
              <w:rPr>
                <w:color w:val="333333"/>
              </w:rPr>
              <w:t xml:space="preserve">evel C, </w:t>
            </w:r>
            <w:r w:rsidR="00A50B2D">
              <w:rPr>
                <w:color w:val="333333"/>
              </w:rPr>
              <w:t>you</w:t>
            </w:r>
            <w:r>
              <w:rPr>
                <w:color w:val="333333"/>
              </w:rPr>
              <w:t xml:space="preserve"> are required to nominate one referee. </w:t>
            </w:r>
            <w:r w:rsidR="00362AF9">
              <w:rPr>
                <w:color w:val="333333"/>
              </w:rPr>
              <w:t xml:space="preserve"> </w:t>
            </w:r>
            <w:r>
              <w:rPr>
                <w:color w:val="333333"/>
              </w:rPr>
              <w:t xml:space="preserve">A referee should be an individual of standing in relevant academic </w:t>
            </w:r>
            <w:r w:rsidR="00563D8C">
              <w:rPr>
                <w:color w:val="333333"/>
              </w:rPr>
              <w:t>or</w:t>
            </w:r>
            <w:r>
              <w:rPr>
                <w:color w:val="333333"/>
              </w:rPr>
              <w:t xml:space="preserve"> professional field whose judgement can be relied upon. </w:t>
            </w:r>
            <w:r w:rsidR="00563D8C">
              <w:rPr>
                <w:color w:val="333333"/>
              </w:rPr>
              <w:t xml:space="preserve"> </w:t>
            </w:r>
            <w:r>
              <w:rPr>
                <w:color w:val="333333"/>
              </w:rPr>
              <w:t>The referee should confirm the applicant’s claims across the three Area</w:t>
            </w:r>
            <w:r w:rsidR="00563D8C">
              <w:rPr>
                <w:color w:val="333333"/>
              </w:rPr>
              <w:t>s of Achievement (if a research-</w:t>
            </w:r>
            <w:r>
              <w:rPr>
                <w:color w:val="333333"/>
              </w:rPr>
              <w:t xml:space="preserve">only appointment two Areas of Achievement). </w:t>
            </w:r>
            <w:r w:rsidR="00563D8C">
              <w:rPr>
                <w:color w:val="333333"/>
              </w:rPr>
              <w:t xml:space="preserve"> </w:t>
            </w:r>
            <w:r>
              <w:rPr>
                <w:color w:val="333333"/>
              </w:rPr>
              <w:t xml:space="preserve">Referees may be internal, external or international. </w:t>
            </w:r>
          </w:p>
          <w:p w14:paraId="522B8302" w14:textId="4276C69D" w:rsidR="005E00E4" w:rsidRPr="00156517" w:rsidRDefault="005E00E4" w:rsidP="00EB7B27">
            <w:pPr>
              <w:pStyle w:val="FedBody1013"/>
              <w:spacing w:after="140" w:line="240" w:lineRule="atLeast"/>
              <w:ind w:left="32" w:right="149"/>
              <w:rPr>
                <w:color w:val="333333"/>
              </w:rPr>
            </w:pPr>
            <w:r>
              <w:rPr>
                <w:color w:val="333333"/>
              </w:rPr>
              <w:t xml:space="preserve">Independent assessors will be nominated by the Dean who will provide Human Resources a list of external experts who offer a balanced and independent assessment of the applicant’s standing in the nominated discipline. </w:t>
            </w:r>
            <w:r w:rsidR="00563D8C">
              <w:rPr>
                <w:color w:val="333333"/>
              </w:rPr>
              <w:t xml:space="preserve"> </w:t>
            </w:r>
            <w:r>
              <w:rPr>
                <w:color w:val="333333"/>
              </w:rPr>
              <w:t>Human Resources will select one independent assessor for an applicant at Academic Level C</w:t>
            </w:r>
            <w:r w:rsidR="00190008">
              <w:rPr>
                <w:color w:val="333333"/>
              </w:rPr>
              <w:t>,</w:t>
            </w:r>
            <w:r>
              <w:rPr>
                <w:color w:val="333333"/>
              </w:rPr>
              <w:t xml:space="preserve"> and two independent assessors for applic</w:t>
            </w:r>
            <w:r w:rsidR="00563D8C">
              <w:rPr>
                <w:color w:val="333333"/>
              </w:rPr>
              <w:t>ants at Academic Level D and E.</w:t>
            </w:r>
          </w:p>
        </w:tc>
      </w:tr>
      <w:tr w:rsidR="00AD03E5" w14:paraId="76CC150E" w14:textId="77777777" w:rsidTr="00F2215D">
        <w:tc>
          <w:tcPr>
            <w:tcW w:w="3119" w:type="dxa"/>
            <w:tcBorders>
              <w:right w:val="nil"/>
            </w:tcBorders>
          </w:tcPr>
          <w:p w14:paraId="326C6BFC" w14:textId="770C7708" w:rsidR="00AD03E5" w:rsidRDefault="005E00E4" w:rsidP="00EB7B27">
            <w:pPr>
              <w:pStyle w:val="FedBody1013"/>
              <w:spacing w:line="240" w:lineRule="atLeast"/>
              <w:ind w:left="32" w:right="175"/>
              <w:rPr>
                <w:b/>
                <w:color w:val="333333"/>
              </w:rPr>
            </w:pPr>
            <w:r>
              <w:rPr>
                <w:b/>
                <w:color w:val="333333"/>
              </w:rPr>
              <w:lastRenderedPageBreak/>
              <w:t>Am I invited to meet with the Committee?</w:t>
            </w:r>
          </w:p>
        </w:tc>
        <w:tc>
          <w:tcPr>
            <w:tcW w:w="6917" w:type="dxa"/>
            <w:tcBorders>
              <w:left w:val="nil"/>
            </w:tcBorders>
          </w:tcPr>
          <w:p w14:paraId="04777B91" w14:textId="36FAB5C6" w:rsidR="00AD03E5" w:rsidRDefault="005E00E4" w:rsidP="00EB7B27">
            <w:pPr>
              <w:pStyle w:val="FedBody1013"/>
              <w:spacing w:after="140" w:line="240" w:lineRule="atLeast"/>
              <w:ind w:left="32" w:right="149"/>
              <w:rPr>
                <w:color w:val="333333"/>
              </w:rPr>
            </w:pPr>
            <w:r>
              <w:rPr>
                <w:color w:val="333333"/>
              </w:rPr>
              <w:t xml:space="preserve">Only applicants applying for Academic Level D or E are invited to meet with the Committee. </w:t>
            </w:r>
            <w:r w:rsidR="00190008">
              <w:rPr>
                <w:color w:val="333333"/>
              </w:rPr>
              <w:t xml:space="preserve"> </w:t>
            </w:r>
            <w:r>
              <w:rPr>
                <w:color w:val="333333"/>
              </w:rPr>
              <w:t>The meeting is for approximately 10-15 minutes and guidelines can be found on our website.</w:t>
            </w:r>
          </w:p>
        </w:tc>
      </w:tr>
      <w:tr w:rsidR="00AD03E5" w14:paraId="15E92F35" w14:textId="77777777" w:rsidTr="00F2215D">
        <w:tc>
          <w:tcPr>
            <w:tcW w:w="3119" w:type="dxa"/>
            <w:tcBorders>
              <w:right w:val="nil"/>
            </w:tcBorders>
          </w:tcPr>
          <w:p w14:paraId="0E50C0CF" w14:textId="77777777" w:rsidR="00AD03E5" w:rsidRDefault="005E00E4" w:rsidP="00EB7B27">
            <w:pPr>
              <w:pStyle w:val="FedBody1013"/>
              <w:spacing w:line="240" w:lineRule="atLeast"/>
              <w:ind w:left="32" w:right="175"/>
              <w:rPr>
                <w:b/>
                <w:color w:val="333333"/>
              </w:rPr>
            </w:pPr>
            <w:r>
              <w:rPr>
                <w:b/>
                <w:color w:val="333333"/>
              </w:rPr>
              <w:t>What is the purpose of the interview?</w:t>
            </w:r>
          </w:p>
        </w:tc>
        <w:tc>
          <w:tcPr>
            <w:tcW w:w="6917" w:type="dxa"/>
            <w:tcBorders>
              <w:left w:val="nil"/>
            </w:tcBorders>
          </w:tcPr>
          <w:p w14:paraId="4B018F74" w14:textId="00269340" w:rsidR="00AD03E5" w:rsidRDefault="005E00E4" w:rsidP="00EB7B27">
            <w:pPr>
              <w:pStyle w:val="FedBody1013"/>
              <w:spacing w:after="140" w:line="240" w:lineRule="atLeast"/>
              <w:ind w:left="32" w:right="149"/>
              <w:rPr>
                <w:color w:val="333333"/>
              </w:rPr>
            </w:pPr>
            <w:r>
              <w:rPr>
                <w:color w:val="333333"/>
              </w:rPr>
              <w:t>The main purpose is for the committee to clarify any parts of your applic</w:t>
            </w:r>
            <w:r w:rsidR="00563D8C">
              <w:rPr>
                <w:color w:val="333333"/>
              </w:rPr>
              <w:t>ation that they feel necessary.</w:t>
            </w:r>
          </w:p>
        </w:tc>
      </w:tr>
      <w:tr w:rsidR="00AD03E5" w14:paraId="77352F1C" w14:textId="77777777" w:rsidTr="00F2215D">
        <w:tc>
          <w:tcPr>
            <w:tcW w:w="3119" w:type="dxa"/>
            <w:tcBorders>
              <w:right w:val="nil"/>
            </w:tcBorders>
          </w:tcPr>
          <w:p w14:paraId="2DC4C478" w14:textId="77777777" w:rsidR="00AD03E5" w:rsidRDefault="005E00E4" w:rsidP="00EB7B27">
            <w:pPr>
              <w:pStyle w:val="FedBody1013"/>
              <w:spacing w:line="240" w:lineRule="atLeast"/>
              <w:ind w:left="32" w:right="175"/>
              <w:rPr>
                <w:b/>
                <w:color w:val="333333"/>
              </w:rPr>
            </w:pPr>
            <w:r>
              <w:rPr>
                <w:b/>
                <w:color w:val="333333"/>
              </w:rPr>
              <w:t>Who is on the promotions panel?</w:t>
            </w:r>
          </w:p>
        </w:tc>
        <w:tc>
          <w:tcPr>
            <w:tcW w:w="6917" w:type="dxa"/>
            <w:tcBorders>
              <w:left w:val="nil"/>
            </w:tcBorders>
          </w:tcPr>
          <w:p w14:paraId="70B1FC9E" w14:textId="1ED27CE1" w:rsidR="00AD03E5" w:rsidRDefault="005E00E4" w:rsidP="00EB7B27">
            <w:pPr>
              <w:pStyle w:val="FedBody1013"/>
              <w:spacing w:after="140" w:line="240" w:lineRule="atLeast"/>
              <w:ind w:left="32" w:right="149"/>
              <w:rPr>
                <w:color w:val="333333"/>
              </w:rPr>
            </w:pPr>
            <w:r>
              <w:rPr>
                <w:color w:val="333333"/>
              </w:rPr>
              <w:t>The formal panel composition can be located in the Academic Promotion for Levels C, D and E (Higher Education) Procedure</w:t>
            </w:r>
            <w:r w:rsidR="00F2215D">
              <w:rPr>
                <w:color w:val="333333"/>
              </w:rPr>
              <w:t xml:space="preserve">. </w:t>
            </w:r>
            <w:r w:rsidR="00190008">
              <w:rPr>
                <w:color w:val="333333"/>
              </w:rPr>
              <w:t xml:space="preserve"> </w:t>
            </w:r>
            <w:r w:rsidR="00F2215D">
              <w:rPr>
                <w:color w:val="333333"/>
              </w:rPr>
              <w:t xml:space="preserve">Where possible, we aim to cover as many disciplines as possible, as well as teaching, research, and service areas. </w:t>
            </w:r>
            <w:r w:rsidR="00190008">
              <w:rPr>
                <w:color w:val="333333"/>
              </w:rPr>
              <w:t xml:space="preserve"> </w:t>
            </w:r>
            <w:r w:rsidR="00F2215D">
              <w:rPr>
                <w:color w:val="333333"/>
              </w:rPr>
              <w:t>We also aim to have gender balance and will ensure membership has no less than 30% of either gender to bring a healthy mix of perspective.</w:t>
            </w:r>
          </w:p>
        </w:tc>
      </w:tr>
      <w:tr w:rsidR="00AD03E5" w14:paraId="11B318FC" w14:textId="77777777" w:rsidTr="00F2215D">
        <w:tc>
          <w:tcPr>
            <w:tcW w:w="3119" w:type="dxa"/>
            <w:tcBorders>
              <w:right w:val="nil"/>
            </w:tcBorders>
          </w:tcPr>
          <w:p w14:paraId="4E5D2CCC" w14:textId="77777777" w:rsidR="00AD03E5" w:rsidRDefault="00F2215D" w:rsidP="00EB7B27">
            <w:pPr>
              <w:pStyle w:val="FedBody1013"/>
              <w:spacing w:line="240" w:lineRule="atLeast"/>
              <w:ind w:left="32" w:right="175"/>
              <w:rPr>
                <w:b/>
                <w:color w:val="333333"/>
              </w:rPr>
            </w:pPr>
            <w:r>
              <w:rPr>
                <w:b/>
                <w:color w:val="333333"/>
              </w:rPr>
              <w:t>How will I find out the outcome of my application?</w:t>
            </w:r>
          </w:p>
        </w:tc>
        <w:tc>
          <w:tcPr>
            <w:tcW w:w="6917" w:type="dxa"/>
            <w:tcBorders>
              <w:left w:val="nil"/>
            </w:tcBorders>
          </w:tcPr>
          <w:p w14:paraId="678C700A" w14:textId="30E4B673" w:rsidR="00AD03E5" w:rsidRDefault="00F2215D" w:rsidP="00EB7B27">
            <w:pPr>
              <w:pStyle w:val="FedBody1013"/>
              <w:spacing w:after="140" w:line="240" w:lineRule="atLeast"/>
              <w:ind w:left="32" w:right="149"/>
              <w:rPr>
                <w:color w:val="333333"/>
              </w:rPr>
            </w:pPr>
            <w:r>
              <w:rPr>
                <w:color w:val="333333"/>
              </w:rPr>
              <w:t xml:space="preserve">Human Resources will advise all applicants in writing whether their application has been successful. </w:t>
            </w:r>
            <w:r w:rsidR="00190008">
              <w:rPr>
                <w:color w:val="333333"/>
              </w:rPr>
              <w:t xml:space="preserve"> </w:t>
            </w:r>
            <w:r>
              <w:rPr>
                <w:color w:val="333333"/>
              </w:rPr>
              <w:t xml:space="preserve">A copy of the advice will also be sent to the relevant Dean. </w:t>
            </w:r>
          </w:p>
        </w:tc>
      </w:tr>
      <w:tr w:rsidR="00AD03E5" w14:paraId="3382CCF0" w14:textId="77777777" w:rsidTr="00F2215D">
        <w:tc>
          <w:tcPr>
            <w:tcW w:w="3119" w:type="dxa"/>
            <w:tcBorders>
              <w:right w:val="nil"/>
            </w:tcBorders>
          </w:tcPr>
          <w:p w14:paraId="1ED23DDC" w14:textId="77777777" w:rsidR="00AD03E5" w:rsidRDefault="00F2215D" w:rsidP="00EB7B27">
            <w:pPr>
              <w:pStyle w:val="FedBody1013"/>
              <w:spacing w:line="240" w:lineRule="atLeast"/>
              <w:ind w:left="32" w:right="175"/>
              <w:rPr>
                <w:b/>
                <w:color w:val="333333"/>
              </w:rPr>
            </w:pPr>
            <w:r>
              <w:rPr>
                <w:b/>
                <w:color w:val="333333"/>
              </w:rPr>
              <w:t>How long does it take after the Committee meeting to be advised of the outcome?</w:t>
            </w:r>
          </w:p>
        </w:tc>
        <w:tc>
          <w:tcPr>
            <w:tcW w:w="6917" w:type="dxa"/>
            <w:tcBorders>
              <w:left w:val="nil"/>
            </w:tcBorders>
          </w:tcPr>
          <w:p w14:paraId="029BF140" w14:textId="3C8A5EE7" w:rsidR="00AD03E5" w:rsidRDefault="00F2215D" w:rsidP="00EB7B27">
            <w:pPr>
              <w:pStyle w:val="FedBody1013"/>
              <w:spacing w:after="140" w:line="240" w:lineRule="atLeast"/>
              <w:ind w:left="32" w:right="149"/>
              <w:rPr>
                <w:color w:val="333333"/>
              </w:rPr>
            </w:pPr>
            <w:r>
              <w:rPr>
                <w:color w:val="333333"/>
              </w:rPr>
              <w:t>After the Committee meeting occurs, information needs to be collated and</w:t>
            </w:r>
            <w:r w:rsidR="00190008">
              <w:rPr>
                <w:color w:val="333333"/>
              </w:rPr>
              <w:t xml:space="preserve"> approved by the Vice-</w:t>
            </w:r>
            <w:r>
              <w:rPr>
                <w:color w:val="333333"/>
              </w:rPr>
              <w:t xml:space="preserve">Chancellor. </w:t>
            </w:r>
            <w:r w:rsidR="00190008">
              <w:rPr>
                <w:color w:val="333333"/>
              </w:rPr>
              <w:t xml:space="preserve"> </w:t>
            </w:r>
            <w:r>
              <w:rPr>
                <w:color w:val="333333"/>
              </w:rPr>
              <w:t>Once that approval is received, the relevant letter for each applicant needs to be prepared with specific commentary.</w:t>
            </w:r>
          </w:p>
        </w:tc>
      </w:tr>
      <w:tr w:rsidR="00AD03E5" w14:paraId="3F181D55" w14:textId="77777777" w:rsidTr="00F2215D">
        <w:tc>
          <w:tcPr>
            <w:tcW w:w="3119" w:type="dxa"/>
            <w:tcBorders>
              <w:right w:val="nil"/>
            </w:tcBorders>
          </w:tcPr>
          <w:p w14:paraId="3BFCDEDE" w14:textId="77777777" w:rsidR="00AD03E5" w:rsidRDefault="00F2215D" w:rsidP="00EB7B27">
            <w:pPr>
              <w:pStyle w:val="FedBody1013"/>
              <w:spacing w:line="240" w:lineRule="atLeast"/>
              <w:ind w:left="32" w:right="175"/>
              <w:rPr>
                <w:b/>
                <w:color w:val="333333"/>
              </w:rPr>
            </w:pPr>
            <w:r>
              <w:rPr>
                <w:b/>
                <w:color w:val="333333"/>
              </w:rPr>
              <w:t>Why should I seek feedback after an outcome?</w:t>
            </w:r>
          </w:p>
        </w:tc>
        <w:tc>
          <w:tcPr>
            <w:tcW w:w="6917" w:type="dxa"/>
            <w:tcBorders>
              <w:left w:val="nil"/>
            </w:tcBorders>
          </w:tcPr>
          <w:p w14:paraId="6EFEC6A8" w14:textId="77777777" w:rsidR="00AD03E5" w:rsidRDefault="00F2215D" w:rsidP="00EB7B27">
            <w:pPr>
              <w:pStyle w:val="FedBody1013"/>
              <w:spacing w:after="140" w:line="240" w:lineRule="atLeast"/>
              <w:ind w:left="32" w:right="149"/>
              <w:rPr>
                <w:color w:val="333333"/>
              </w:rPr>
            </w:pPr>
            <w:r>
              <w:rPr>
                <w:color w:val="333333"/>
              </w:rPr>
              <w:t>The promotions process is a learning tool, regardless of the outcome. If you are unsuccessful, we encourage you to seek feedback from the relevant Chair of the panel with your respective Dean.</w:t>
            </w:r>
          </w:p>
        </w:tc>
      </w:tr>
      <w:tr w:rsidR="00F2215D" w14:paraId="73FFD356" w14:textId="77777777" w:rsidTr="00F2215D">
        <w:tc>
          <w:tcPr>
            <w:tcW w:w="3119" w:type="dxa"/>
            <w:tcBorders>
              <w:right w:val="nil"/>
            </w:tcBorders>
          </w:tcPr>
          <w:p w14:paraId="1B2A1AED" w14:textId="77777777" w:rsidR="00F2215D" w:rsidRDefault="00F2215D" w:rsidP="00EB7B27">
            <w:pPr>
              <w:pStyle w:val="FedBody1013"/>
              <w:spacing w:line="240" w:lineRule="atLeast"/>
              <w:ind w:left="32" w:right="175"/>
              <w:rPr>
                <w:b/>
                <w:color w:val="333333"/>
              </w:rPr>
            </w:pPr>
            <w:r>
              <w:rPr>
                <w:b/>
                <w:color w:val="333333"/>
              </w:rPr>
              <w:t>I disagree with the outcome, what should I do?</w:t>
            </w:r>
          </w:p>
        </w:tc>
        <w:tc>
          <w:tcPr>
            <w:tcW w:w="6917" w:type="dxa"/>
            <w:tcBorders>
              <w:left w:val="nil"/>
            </w:tcBorders>
          </w:tcPr>
          <w:p w14:paraId="3957AFCB" w14:textId="4AAEDA56" w:rsidR="00F2215D" w:rsidRDefault="00F2215D" w:rsidP="00EB7B27">
            <w:pPr>
              <w:pStyle w:val="FedBody1013"/>
              <w:spacing w:after="140" w:line="240" w:lineRule="atLeast"/>
              <w:ind w:right="149"/>
              <w:rPr>
                <w:color w:val="333333"/>
              </w:rPr>
            </w:pPr>
            <w:r>
              <w:rPr>
                <w:color w:val="333333"/>
              </w:rPr>
              <w:t xml:space="preserve">You can only request reconsideration on the grounds that the Committee deviated from the enactment of the Policy and Procedure, or that the principles of natural justice have not been applied. </w:t>
            </w:r>
            <w:r w:rsidR="00EB7B27">
              <w:rPr>
                <w:color w:val="333333"/>
              </w:rPr>
              <w:t xml:space="preserve"> </w:t>
            </w:r>
            <w:r>
              <w:rPr>
                <w:color w:val="333333"/>
              </w:rPr>
              <w:t>You w</w:t>
            </w:r>
            <w:r w:rsidR="00EB7B27">
              <w:rPr>
                <w:color w:val="333333"/>
              </w:rPr>
              <w:t xml:space="preserve">ill need to advise the Director, </w:t>
            </w:r>
            <w:r>
              <w:rPr>
                <w:color w:val="333333"/>
              </w:rPr>
              <w:t>Human Resources in writing of your intention to appeal within seven days of receiving advice of the outcome of your application.</w:t>
            </w:r>
            <w:r w:rsidR="00A50B2D">
              <w:rPr>
                <w:color w:val="333333"/>
              </w:rPr>
              <w:t xml:space="preserve"> </w:t>
            </w:r>
          </w:p>
        </w:tc>
      </w:tr>
    </w:tbl>
    <w:p w14:paraId="385B8D38" w14:textId="77777777" w:rsidR="00304E1A" w:rsidRPr="00A50B2D" w:rsidRDefault="00304E1A" w:rsidP="00A50B2D">
      <w:pPr>
        <w:tabs>
          <w:tab w:val="left" w:pos="1140"/>
        </w:tabs>
      </w:pPr>
    </w:p>
    <w:sectPr w:rsidR="00304E1A" w:rsidRPr="00A50B2D" w:rsidSect="00EB7B27">
      <w:headerReference w:type="even" r:id="rId8"/>
      <w:headerReference w:type="default" r:id="rId9"/>
      <w:footerReference w:type="even" r:id="rId10"/>
      <w:footerReference w:type="default" r:id="rId11"/>
      <w:headerReference w:type="first" r:id="rId12"/>
      <w:footerReference w:type="first" r:id="rId13"/>
      <w:pgSz w:w="11900" w:h="16840"/>
      <w:pgMar w:top="1134" w:right="851" w:bottom="709" w:left="1134" w:header="426" w:footer="12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8A3D" w14:textId="77777777" w:rsidR="008B067E" w:rsidRDefault="008B067E">
      <w:pPr>
        <w:spacing w:after="0" w:line="240" w:lineRule="auto"/>
      </w:pPr>
      <w:r>
        <w:separator/>
      </w:r>
    </w:p>
  </w:endnote>
  <w:endnote w:type="continuationSeparator" w:id="0">
    <w:p w14:paraId="213C23D3" w14:textId="77777777" w:rsidR="008B067E" w:rsidRDefault="008B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B0500000000000000"/>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6CD2F" w14:textId="77777777" w:rsidR="006E6801" w:rsidRDefault="006E6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398AC" w14:textId="77E1B501" w:rsidR="003629B0" w:rsidRPr="00710CCB" w:rsidRDefault="003629B0" w:rsidP="00B16CF5">
    <w:pPr>
      <w:pStyle w:val="Footer"/>
      <w:tabs>
        <w:tab w:val="clear" w:pos="4320"/>
        <w:tab w:val="clear" w:pos="8640"/>
        <w:tab w:val="left" w:pos="3261"/>
        <w:tab w:val="right" w:pos="9915"/>
      </w:tabs>
      <w:rPr>
        <w:rFonts w:cs="Arial"/>
        <w:color w:val="071243"/>
        <w:szCs w:val="12"/>
      </w:rPr>
    </w:pPr>
    <w:r w:rsidRPr="00710CCB">
      <w:rPr>
        <w:rFonts w:cs="Arial"/>
        <w:color w:val="071243"/>
        <w:szCs w:val="12"/>
      </w:rPr>
      <w:t xml:space="preserve">CRICOS 00103D  |  </w:t>
    </w:r>
    <w:r w:rsidRPr="00710CCB">
      <w:rPr>
        <w:rFonts w:eastAsia="Calibri" w:cs="Arial"/>
        <w:noProof/>
        <w:color w:val="071243"/>
        <w:szCs w:val="12"/>
        <w:lang w:eastAsia="en-AU"/>
      </w:rPr>
      <w:t>RTO 4909</w:t>
    </w:r>
    <w:r>
      <w:rPr>
        <w:rFonts w:eastAsia="Calibri" w:cs="Arial"/>
        <w:noProof/>
        <w:color w:val="071243"/>
        <w:szCs w:val="12"/>
        <w:lang w:eastAsia="en-AU"/>
      </w:rPr>
      <w:tab/>
    </w:r>
    <w:r w:rsidR="00EB7B27" w:rsidRPr="006E6801">
      <w:rPr>
        <w:rFonts w:eastAsia="Calibri" w:cs="Arial"/>
        <w:noProof/>
        <w:color w:val="071243"/>
        <w:szCs w:val="16"/>
        <w:lang w:eastAsia="en-AU"/>
      </w:rPr>
      <w:t xml:space="preserve">Version:  </w:t>
    </w:r>
    <w:r w:rsidR="00B16CF5" w:rsidRPr="006E6801">
      <w:rPr>
        <w:rFonts w:eastAsia="Calibri" w:cs="Arial"/>
        <w:noProof/>
        <w:color w:val="071243"/>
        <w:szCs w:val="16"/>
        <w:lang w:eastAsia="en-AU"/>
      </w:rPr>
      <w:t>29 July 2019</w:t>
    </w:r>
    <w:r w:rsidR="00B16CF5" w:rsidRPr="00B16CF5">
      <w:rPr>
        <w:rFonts w:eastAsia="Calibri" w:cs="Arial"/>
        <w:noProof/>
        <w:color w:val="071243"/>
        <w:sz w:val="16"/>
        <w:szCs w:val="16"/>
        <w:lang w:eastAsia="en-AU"/>
      </w:rPr>
      <w:tab/>
    </w:r>
    <w:r w:rsidRPr="00B16CF5">
      <w:rPr>
        <w:rFonts w:cs="Arial"/>
        <w:color w:val="071243"/>
        <w:sz w:val="16"/>
        <w:szCs w:val="16"/>
      </w:rPr>
      <w:t>Page</w:t>
    </w:r>
    <w:bookmarkStart w:id="0" w:name="_GoBack"/>
    <w:bookmarkEnd w:id="0"/>
    <w:r w:rsidRPr="00B16CF5">
      <w:rPr>
        <w:rFonts w:cs="Arial"/>
        <w:color w:val="071243"/>
        <w:sz w:val="16"/>
        <w:szCs w:val="16"/>
      </w:rPr>
      <w:t xml:space="preserve"> </w:t>
    </w:r>
    <w:r w:rsidRPr="00B16CF5">
      <w:rPr>
        <w:rFonts w:cs="Arial"/>
        <w:color w:val="071243"/>
        <w:sz w:val="16"/>
        <w:szCs w:val="16"/>
      </w:rPr>
      <w:fldChar w:fldCharType="begin"/>
    </w:r>
    <w:r w:rsidRPr="00B16CF5">
      <w:rPr>
        <w:rFonts w:cs="Arial"/>
        <w:color w:val="071243"/>
        <w:sz w:val="16"/>
        <w:szCs w:val="16"/>
      </w:rPr>
      <w:instrText xml:space="preserve"> PAGE </w:instrText>
    </w:r>
    <w:r w:rsidRPr="00B16CF5">
      <w:rPr>
        <w:rFonts w:cs="Arial"/>
        <w:color w:val="071243"/>
        <w:sz w:val="16"/>
        <w:szCs w:val="16"/>
      </w:rPr>
      <w:fldChar w:fldCharType="separate"/>
    </w:r>
    <w:r w:rsidR="006E6801">
      <w:rPr>
        <w:rFonts w:cs="Arial"/>
        <w:noProof/>
        <w:color w:val="071243"/>
        <w:sz w:val="16"/>
        <w:szCs w:val="16"/>
      </w:rPr>
      <w:t>1</w:t>
    </w:r>
    <w:r w:rsidRPr="00B16CF5">
      <w:rPr>
        <w:rFonts w:cs="Arial"/>
        <w:color w:val="071243"/>
        <w:sz w:val="16"/>
        <w:szCs w:val="16"/>
      </w:rPr>
      <w:fldChar w:fldCharType="end"/>
    </w:r>
    <w:r w:rsidRPr="00B16CF5">
      <w:rPr>
        <w:rFonts w:cs="Arial"/>
        <w:color w:val="071243"/>
        <w:sz w:val="16"/>
        <w:szCs w:val="16"/>
      </w:rPr>
      <w:t xml:space="preserve"> of </w:t>
    </w:r>
    <w:r w:rsidRPr="00B16CF5">
      <w:rPr>
        <w:rFonts w:cs="Arial"/>
        <w:color w:val="071243"/>
        <w:sz w:val="16"/>
        <w:szCs w:val="16"/>
      </w:rPr>
      <w:fldChar w:fldCharType="begin"/>
    </w:r>
    <w:r w:rsidRPr="00B16CF5">
      <w:rPr>
        <w:rFonts w:cs="Arial"/>
        <w:color w:val="071243"/>
        <w:sz w:val="16"/>
        <w:szCs w:val="16"/>
      </w:rPr>
      <w:instrText xml:space="preserve"> NUMPAGES  </w:instrText>
    </w:r>
    <w:r w:rsidRPr="00B16CF5">
      <w:rPr>
        <w:rFonts w:cs="Arial"/>
        <w:color w:val="071243"/>
        <w:sz w:val="16"/>
        <w:szCs w:val="16"/>
      </w:rPr>
      <w:fldChar w:fldCharType="separate"/>
    </w:r>
    <w:r w:rsidR="006E6801">
      <w:rPr>
        <w:rFonts w:cs="Arial"/>
        <w:noProof/>
        <w:color w:val="071243"/>
        <w:sz w:val="16"/>
        <w:szCs w:val="16"/>
      </w:rPr>
      <w:t>2</w:t>
    </w:r>
    <w:r w:rsidRPr="00B16CF5">
      <w:rPr>
        <w:rFonts w:cs="Arial"/>
        <w:color w:val="071243"/>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677E5" w14:textId="299E8A61" w:rsidR="00195EBD" w:rsidRPr="00F40398" w:rsidRDefault="00F40398" w:rsidP="00F40398">
    <w:pPr>
      <w:pStyle w:val="Footer"/>
      <w:tabs>
        <w:tab w:val="clear" w:pos="4320"/>
        <w:tab w:val="clear" w:pos="8640"/>
        <w:tab w:val="right" w:pos="9348"/>
      </w:tabs>
      <w:rPr>
        <w:rFonts w:asciiTheme="minorHAnsi" w:hAnsiTheme="minorHAnsi"/>
        <w:sz w:val="16"/>
        <w:szCs w:val="16"/>
      </w:rPr>
    </w:pPr>
    <w:r w:rsidRPr="00195EBD">
      <w:t>CRICOS Provider No. 00103D</w:t>
    </w:r>
    <w:r>
      <w:t xml:space="preserve">  |  </w:t>
    </w:r>
    <w:r w:rsidRPr="00F40398">
      <w:t>RTO Number 4909</w:t>
    </w:r>
    <w:r>
      <w:tab/>
    </w:r>
    <w:sdt>
      <w:sdtPr>
        <w:rPr>
          <w:sz w:val="16"/>
          <w:szCs w:val="16"/>
        </w:rPr>
        <w:id w:val="1206222868"/>
        <w:docPartObj>
          <w:docPartGallery w:val="Page Numbers (Top of Page)"/>
          <w:docPartUnique/>
        </w:docPartObj>
      </w:sdtPr>
      <w:sdtEndPr/>
      <w:sdtContent>
        <w:r w:rsidRPr="00195EBD">
          <w:rPr>
            <w:sz w:val="16"/>
            <w:szCs w:val="16"/>
          </w:rPr>
          <w:t xml:space="preserve">Page </w:t>
        </w:r>
        <w:r w:rsidRPr="00195EBD">
          <w:rPr>
            <w:sz w:val="16"/>
            <w:szCs w:val="16"/>
          </w:rPr>
          <w:fldChar w:fldCharType="begin"/>
        </w:r>
        <w:r w:rsidRPr="00195EBD">
          <w:rPr>
            <w:sz w:val="16"/>
            <w:szCs w:val="16"/>
          </w:rPr>
          <w:instrText xml:space="preserve"> PAGE </w:instrText>
        </w:r>
        <w:r w:rsidRPr="00195EBD">
          <w:rPr>
            <w:sz w:val="16"/>
            <w:szCs w:val="16"/>
          </w:rPr>
          <w:fldChar w:fldCharType="separate"/>
        </w:r>
        <w:r w:rsidR="008A6A1B">
          <w:rPr>
            <w:noProof/>
            <w:sz w:val="16"/>
            <w:szCs w:val="16"/>
          </w:rPr>
          <w:t>1</w:t>
        </w:r>
        <w:r w:rsidRPr="00195EBD">
          <w:rPr>
            <w:sz w:val="16"/>
            <w:szCs w:val="16"/>
          </w:rPr>
          <w:fldChar w:fldCharType="end"/>
        </w:r>
        <w:r w:rsidRPr="00195EBD">
          <w:rPr>
            <w:sz w:val="16"/>
            <w:szCs w:val="16"/>
          </w:rPr>
          <w:t xml:space="preserve"> of </w:t>
        </w:r>
        <w:r w:rsidRPr="00195EBD">
          <w:rPr>
            <w:sz w:val="16"/>
            <w:szCs w:val="16"/>
          </w:rPr>
          <w:fldChar w:fldCharType="begin"/>
        </w:r>
        <w:r w:rsidRPr="00195EBD">
          <w:rPr>
            <w:sz w:val="16"/>
            <w:szCs w:val="16"/>
          </w:rPr>
          <w:instrText xml:space="preserve"> NUMPAGES  </w:instrText>
        </w:r>
        <w:r w:rsidRPr="00195EBD">
          <w:rPr>
            <w:sz w:val="16"/>
            <w:szCs w:val="16"/>
          </w:rPr>
          <w:fldChar w:fldCharType="separate"/>
        </w:r>
        <w:r w:rsidR="00F86604">
          <w:rPr>
            <w:noProof/>
            <w:sz w:val="16"/>
            <w:szCs w:val="16"/>
          </w:rPr>
          <w:t>2</w:t>
        </w:r>
        <w:r w:rsidRPr="00195EBD">
          <w:rPr>
            <w:sz w:val="16"/>
            <w:szCs w:val="16"/>
          </w:rPr>
          <w:fldChar w:fldCharType="end"/>
        </w:r>
      </w:sdtContent>
    </w:sdt>
    <w:r w:rsidR="00195EBD" w:rsidRPr="001E362E">
      <w:rPr>
        <w:noProof/>
        <w:lang w:eastAsia="en-AU"/>
      </w:rPr>
      <w:drawing>
        <wp:anchor distT="0" distB="0" distL="114300" distR="114300" simplePos="0" relativeHeight="251655680" behindDoc="1" locked="0" layoutInCell="1" allowOverlap="1" wp14:anchorId="17C1B2A1" wp14:editId="7CEE91BE">
          <wp:simplePos x="0" y="0"/>
          <wp:positionH relativeFrom="page">
            <wp:align>left</wp:align>
          </wp:positionH>
          <wp:positionV relativeFrom="page">
            <wp:align>bottom</wp:align>
          </wp:positionV>
          <wp:extent cx="7560310" cy="728134"/>
          <wp:effectExtent l="0" t="0" r="2540" b="0"/>
          <wp:wrapNone/>
          <wp:docPr id="20" name="Picture 20"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813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25219" w14:textId="77777777" w:rsidR="008B067E" w:rsidRDefault="008B067E">
      <w:pPr>
        <w:spacing w:after="0" w:line="240" w:lineRule="auto"/>
      </w:pPr>
      <w:r>
        <w:separator/>
      </w:r>
    </w:p>
  </w:footnote>
  <w:footnote w:type="continuationSeparator" w:id="0">
    <w:p w14:paraId="541474FA" w14:textId="77777777" w:rsidR="008B067E" w:rsidRDefault="008B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EF69" w14:textId="77777777" w:rsidR="006E6801" w:rsidRDefault="006E6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4"/>
      <w:tblW w:w="10490" w:type="dxa"/>
      <w:tblLook w:val="04A0" w:firstRow="1" w:lastRow="0" w:firstColumn="1" w:lastColumn="0" w:noHBand="0" w:noVBand="1"/>
    </w:tblPr>
    <w:tblGrid>
      <w:gridCol w:w="4253"/>
      <w:gridCol w:w="6237"/>
    </w:tblGrid>
    <w:tr w:rsidR="00B16CF5" w:rsidRPr="00B16CF5" w14:paraId="0D5A18E1" w14:textId="77777777" w:rsidTr="00235C85">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253" w:type="dxa"/>
          <w:tcBorders>
            <w:right w:val="single" w:sz="4" w:space="0" w:color="808080" w:themeColor="background1" w:themeShade="80"/>
          </w:tcBorders>
        </w:tcPr>
        <w:p w14:paraId="49C1FF8F" w14:textId="77777777" w:rsidR="003629B0" w:rsidRPr="00B16CF5" w:rsidRDefault="003629B0" w:rsidP="00B21778">
          <w:pPr>
            <w:pStyle w:val="FedL1Heading"/>
            <w:spacing w:before="0" w:after="0" w:line="240" w:lineRule="auto"/>
            <w:ind w:left="-105"/>
            <w:rPr>
              <w:b/>
              <w:color w:val="041243"/>
              <w:sz w:val="48"/>
            </w:rPr>
          </w:pPr>
          <w:r w:rsidRPr="00B16CF5">
            <w:rPr>
              <w:rFonts w:eastAsia="Times New Roman"/>
              <w:noProof/>
              <w:color w:val="041243"/>
              <w:lang w:val="en-AU" w:eastAsia="en-AU"/>
            </w:rPr>
            <w:drawing>
              <wp:inline distT="0" distB="0" distL="0" distR="0" wp14:anchorId="45B34D61" wp14:editId="0AAC4BBF">
                <wp:extent cx="2456271" cy="64800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ue_RGB.jpg"/>
                        <pic:cNvPicPr/>
                      </pic:nvPicPr>
                      <pic:blipFill>
                        <a:blip r:embed="rId1">
                          <a:extLst>
                            <a:ext uri="{28A0092B-C50C-407E-A947-70E740481C1C}">
                              <a14:useLocalDpi xmlns:a14="http://schemas.microsoft.com/office/drawing/2010/main" val="0"/>
                            </a:ext>
                          </a:extLst>
                        </a:blip>
                        <a:stretch>
                          <a:fillRect/>
                        </a:stretch>
                      </pic:blipFill>
                      <pic:spPr>
                        <a:xfrm>
                          <a:off x="0" y="0"/>
                          <a:ext cx="2456271" cy="648000"/>
                        </a:xfrm>
                        <a:prstGeom prst="rect">
                          <a:avLst/>
                        </a:prstGeom>
                      </pic:spPr>
                    </pic:pic>
                  </a:graphicData>
                </a:graphic>
              </wp:inline>
            </w:drawing>
          </w:r>
        </w:p>
      </w:tc>
      <w:tc>
        <w:tcPr>
          <w:tcW w:w="6237" w:type="dxa"/>
          <w:tcBorders>
            <w:left w:val="single" w:sz="4" w:space="0" w:color="808080" w:themeColor="background1" w:themeShade="80"/>
          </w:tcBorders>
          <w:vAlign w:val="center"/>
        </w:tcPr>
        <w:p w14:paraId="2656B767" w14:textId="7C9387B5" w:rsidR="00B21778" w:rsidRDefault="00B21778" w:rsidP="00B21778">
          <w:pPr>
            <w:pStyle w:val="Header"/>
            <w:spacing w:after="0" w:line="240" w:lineRule="auto"/>
            <w:ind w:left="227" w:right="-102"/>
            <w:cnfStyle w:val="100000000000" w:firstRow="1" w:lastRow="0" w:firstColumn="0" w:lastColumn="0" w:oddVBand="0" w:evenVBand="0" w:oddHBand="0" w:evenHBand="0" w:firstRowFirstColumn="0" w:firstRowLastColumn="0" w:lastRowFirstColumn="0" w:lastRowLastColumn="0"/>
            <w:rPr>
              <w:rFonts w:ascii="Arial" w:hAnsi="Arial" w:cs="Arial"/>
              <w:b w:val="0"/>
              <w:color w:val="071243"/>
              <w:sz w:val="52"/>
              <w:szCs w:val="52"/>
            </w:rPr>
          </w:pPr>
          <w:r>
            <w:rPr>
              <w:rFonts w:ascii="Arial" w:hAnsi="Arial" w:cs="Arial"/>
              <w:b w:val="0"/>
              <w:color w:val="071243"/>
              <w:sz w:val="52"/>
              <w:szCs w:val="52"/>
            </w:rPr>
            <w:t>FAQs</w:t>
          </w:r>
        </w:p>
        <w:p w14:paraId="7343DBF4" w14:textId="67C6C2AE" w:rsidR="00B21778" w:rsidRPr="00B16CF5" w:rsidRDefault="00B21778" w:rsidP="00B21778">
          <w:pPr>
            <w:pStyle w:val="Header"/>
            <w:spacing w:before="60" w:after="0" w:line="240" w:lineRule="auto"/>
            <w:ind w:left="174" w:right="-101"/>
            <w:cnfStyle w:val="100000000000" w:firstRow="1" w:lastRow="0" w:firstColumn="0" w:lastColumn="0" w:oddVBand="0" w:evenVBand="0" w:oddHBand="0" w:evenHBand="0" w:firstRowFirstColumn="0" w:firstRowLastColumn="0" w:lastRowFirstColumn="0" w:lastRowLastColumn="0"/>
            <w:rPr>
              <w:rFonts w:ascii="Arial" w:hAnsi="Arial" w:cs="Arial"/>
              <w:b w:val="0"/>
              <w:color w:val="041243"/>
              <w:sz w:val="56"/>
            </w:rPr>
          </w:pPr>
          <w:r>
            <w:rPr>
              <w:rFonts w:ascii="Arial" w:hAnsi="Arial" w:cs="Arial"/>
              <w:b w:val="0"/>
              <w:noProof/>
              <w:color w:val="071243"/>
              <w:sz w:val="28"/>
              <w:szCs w:val="28"/>
            </w:rPr>
            <w:t>Academic promotion | Levels C, D and E</w:t>
          </w:r>
        </w:p>
      </w:tc>
    </w:tr>
  </w:tbl>
  <w:p w14:paraId="54791F51" w14:textId="77777777" w:rsidR="003629B0" w:rsidRPr="00F33F2F" w:rsidRDefault="003629B0" w:rsidP="00EB7B27">
    <w:pPr>
      <w:tabs>
        <w:tab w:val="left" w:pos="6785"/>
        <w:tab w:val="right" w:pos="15704"/>
      </w:tabs>
      <w:spacing w:after="120"/>
      <w:ind w:right="-31"/>
      <w:rPr>
        <w:rFonts w:ascii="Arial" w:hAnsi="Arial" w:cs="Arial"/>
        <w:noProof/>
        <w:color w:val="2F527D"/>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142" w:type="dxa"/>
      <w:tblLook w:val="04A0" w:firstRow="1" w:lastRow="0" w:firstColumn="1" w:lastColumn="0" w:noHBand="0" w:noVBand="1"/>
    </w:tblPr>
    <w:tblGrid>
      <w:gridCol w:w="4645"/>
      <w:gridCol w:w="4853"/>
    </w:tblGrid>
    <w:tr w:rsidR="003F45D2" w:rsidRPr="003F45D2" w14:paraId="3F7D8E31" w14:textId="77777777" w:rsidTr="00A871C2">
      <w:tc>
        <w:tcPr>
          <w:tcW w:w="4645" w:type="dxa"/>
        </w:tcPr>
        <w:p w14:paraId="3AB526D2" w14:textId="77777777" w:rsidR="003F45D2" w:rsidRPr="003F45D2" w:rsidRDefault="003F45D2" w:rsidP="005D74D7">
          <w:pPr>
            <w:pStyle w:val="Header"/>
            <w:spacing w:line="240" w:lineRule="auto"/>
            <w:rPr>
              <w:rFonts w:ascii="Arial" w:hAnsi="Arial" w:cs="Arial"/>
              <w:b/>
              <w:color w:val="004786"/>
              <w:sz w:val="48"/>
              <w:szCs w:val="48"/>
            </w:rPr>
          </w:pPr>
          <w:r>
            <w:rPr>
              <w:rFonts w:ascii="Arial" w:hAnsi="Arial" w:cs="Arial"/>
              <w:b/>
              <w:color w:val="004786"/>
              <w:sz w:val="52"/>
              <w:szCs w:val="52"/>
            </w:rPr>
            <w:t>Title</w:t>
          </w:r>
        </w:p>
      </w:tc>
      <w:tc>
        <w:tcPr>
          <w:tcW w:w="4853" w:type="dxa"/>
        </w:tcPr>
        <w:p w14:paraId="529F2C91" w14:textId="77777777" w:rsidR="003F45D2" w:rsidRPr="003F45D2" w:rsidRDefault="003F45D2" w:rsidP="00A871C2">
          <w:pPr>
            <w:pStyle w:val="Header"/>
            <w:tabs>
              <w:tab w:val="clear" w:pos="4320"/>
            </w:tabs>
            <w:jc w:val="right"/>
            <w:rPr>
              <w:rFonts w:ascii="Arial" w:hAnsi="Arial" w:cs="Arial"/>
              <w:color w:val="004786"/>
            </w:rPr>
          </w:pPr>
          <w:r>
            <w:rPr>
              <w:noProof/>
              <w:lang w:eastAsia="en-AU"/>
            </w:rPr>
            <w:drawing>
              <wp:anchor distT="0" distB="0" distL="114300" distR="114300" simplePos="0" relativeHeight="251656704" behindDoc="1" locked="0" layoutInCell="1" allowOverlap="1" wp14:anchorId="48546045" wp14:editId="67FE098F">
                <wp:simplePos x="0" y="0"/>
                <wp:positionH relativeFrom="column">
                  <wp:posOffset>482600</wp:posOffset>
                </wp:positionH>
                <wp:positionV relativeFrom="page">
                  <wp:posOffset>3505</wp:posOffset>
                </wp:positionV>
                <wp:extent cx="2513330" cy="495300"/>
                <wp:effectExtent l="0" t="0" r="1270" b="0"/>
                <wp:wrapNone/>
                <wp:docPr id="19" name="Picture 19"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REPORT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51333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4EC4CDA2" w14:textId="77777777" w:rsidR="003F45D2" w:rsidRDefault="003F45D2" w:rsidP="00602D55">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57FBB"/>
    <w:multiLevelType w:val="hybridMultilevel"/>
    <w:tmpl w:val="FFB2D462"/>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 w15:restartNumberingAfterBreak="0">
    <w:nsid w:val="36C601C0"/>
    <w:multiLevelType w:val="hybridMultilevel"/>
    <w:tmpl w:val="161469C0"/>
    <w:lvl w:ilvl="0" w:tplc="E2406352">
      <w:start w:val="1"/>
      <w:numFmt w:val="bullet"/>
      <w:lvlText w:val="­"/>
      <w:lvlJc w:val="left"/>
      <w:pPr>
        <w:ind w:left="720" w:hanging="360"/>
      </w:pPr>
      <w:rPr>
        <w:rFonts w:ascii="Courier New" w:hAnsi="Courier New" w:hint="default"/>
        <w:color w:val="BFBFBF" w:themeColor="background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6736C2"/>
    <w:multiLevelType w:val="hybridMultilevel"/>
    <w:tmpl w:val="DD62BB42"/>
    <w:lvl w:ilvl="0" w:tplc="E2406352">
      <w:start w:val="1"/>
      <w:numFmt w:val="bullet"/>
      <w:lvlText w:val="­"/>
      <w:lvlJc w:val="left"/>
      <w:pPr>
        <w:ind w:left="749" w:hanging="360"/>
      </w:pPr>
      <w:rPr>
        <w:rFonts w:ascii="Courier New" w:hAnsi="Courier New" w:hint="default"/>
        <w:color w:val="BFBFBF" w:themeColor="background1" w:themeShade="BF"/>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3" w15:restartNumberingAfterBreak="0">
    <w:nsid w:val="62DE1C30"/>
    <w:multiLevelType w:val="hybridMultilevel"/>
    <w:tmpl w:val="5246D172"/>
    <w:lvl w:ilvl="0" w:tplc="87123AF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3"/>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B6"/>
    <w:rsid w:val="0000373A"/>
    <w:rsid w:val="00004C13"/>
    <w:rsid w:val="00011DEB"/>
    <w:rsid w:val="000272A2"/>
    <w:rsid w:val="0002751C"/>
    <w:rsid w:val="00047A83"/>
    <w:rsid w:val="00053841"/>
    <w:rsid w:val="00070BC3"/>
    <w:rsid w:val="00071E75"/>
    <w:rsid w:val="00083BE9"/>
    <w:rsid w:val="000A5072"/>
    <w:rsid w:val="000D26E7"/>
    <w:rsid w:val="000F4430"/>
    <w:rsid w:val="000F704E"/>
    <w:rsid w:val="001019B2"/>
    <w:rsid w:val="00102CFD"/>
    <w:rsid w:val="00112A93"/>
    <w:rsid w:val="00135640"/>
    <w:rsid w:val="001456A9"/>
    <w:rsid w:val="00154172"/>
    <w:rsid w:val="00156517"/>
    <w:rsid w:val="00166C72"/>
    <w:rsid w:val="00167588"/>
    <w:rsid w:val="0017304A"/>
    <w:rsid w:val="00177838"/>
    <w:rsid w:val="00190008"/>
    <w:rsid w:val="001945E5"/>
    <w:rsid w:val="00195EBD"/>
    <w:rsid w:val="00197221"/>
    <w:rsid w:val="001A0A2F"/>
    <w:rsid w:val="001A33A3"/>
    <w:rsid w:val="001A5963"/>
    <w:rsid w:val="001E362E"/>
    <w:rsid w:val="001F7160"/>
    <w:rsid w:val="002115D8"/>
    <w:rsid w:val="00213CD5"/>
    <w:rsid w:val="00215FC0"/>
    <w:rsid w:val="00230398"/>
    <w:rsid w:val="00232472"/>
    <w:rsid w:val="00233A33"/>
    <w:rsid w:val="0023517E"/>
    <w:rsid w:val="00235313"/>
    <w:rsid w:val="00247FC5"/>
    <w:rsid w:val="00252B81"/>
    <w:rsid w:val="0028627B"/>
    <w:rsid w:val="002B6B2B"/>
    <w:rsid w:val="002E096E"/>
    <w:rsid w:val="002E589E"/>
    <w:rsid w:val="00303C5B"/>
    <w:rsid w:val="00304E1A"/>
    <w:rsid w:val="00335FC5"/>
    <w:rsid w:val="003577EC"/>
    <w:rsid w:val="00357A58"/>
    <w:rsid w:val="003629B0"/>
    <w:rsid w:val="00362AF9"/>
    <w:rsid w:val="00362E7A"/>
    <w:rsid w:val="00365A9B"/>
    <w:rsid w:val="0037196B"/>
    <w:rsid w:val="00372FC9"/>
    <w:rsid w:val="003771B8"/>
    <w:rsid w:val="00377540"/>
    <w:rsid w:val="00381364"/>
    <w:rsid w:val="00390C13"/>
    <w:rsid w:val="003C3D28"/>
    <w:rsid w:val="003C5E7E"/>
    <w:rsid w:val="003E02DA"/>
    <w:rsid w:val="003E272B"/>
    <w:rsid w:val="003F127E"/>
    <w:rsid w:val="003F45D2"/>
    <w:rsid w:val="00406DFD"/>
    <w:rsid w:val="00407A74"/>
    <w:rsid w:val="004159B0"/>
    <w:rsid w:val="00435B25"/>
    <w:rsid w:val="0044010B"/>
    <w:rsid w:val="004452E6"/>
    <w:rsid w:val="00447847"/>
    <w:rsid w:val="00450EB5"/>
    <w:rsid w:val="004627F0"/>
    <w:rsid w:val="00464B13"/>
    <w:rsid w:val="004659C6"/>
    <w:rsid w:val="00466107"/>
    <w:rsid w:val="004A740F"/>
    <w:rsid w:val="004B0289"/>
    <w:rsid w:val="004D132D"/>
    <w:rsid w:val="004F38CB"/>
    <w:rsid w:val="005013C6"/>
    <w:rsid w:val="005233E4"/>
    <w:rsid w:val="00525946"/>
    <w:rsid w:val="0053028F"/>
    <w:rsid w:val="0053298E"/>
    <w:rsid w:val="005459BD"/>
    <w:rsid w:val="00553623"/>
    <w:rsid w:val="00556149"/>
    <w:rsid w:val="005600A7"/>
    <w:rsid w:val="00563D8C"/>
    <w:rsid w:val="005947C7"/>
    <w:rsid w:val="005A0B34"/>
    <w:rsid w:val="005A257D"/>
    <w:rsid w:val="005B12F1"/>
    <w:rsid w:val="005B25BE"/>
    <w:rsid w:val="005C2073"/>
    <w:rsid w:val="005D74D7"/>
    <w:rsid w:val="005E00E4"/>
    <w:rsid w:val="00602D55"/>
    <w:rsid w:val="006240B5"/>
    <w:rsid w:val="00634F18"/>
    <w:rsid w:val="00636F83"/>
    <w:rsid w:val="0064221D"/>
    <w:rsid w:val="006445DE"/>
    <w:rsid w:val="00664A53"/>
    <w:rsid w:val="00696AA7"/>
    <w:rsid w:val="006A415B"/>
    <w:rsid w:val="006B35C0"/>
    <w:rsid w:val="006D4633"/>
    <w:rsid w:val="006D56D5"/>
    <w:rsid w:val="006D7B4A"/>
    <w:rsid w:val="006E4D2F"/>
    <w:rsid w:val="006E6801"/>
    <w:rsid w:val="00703AD4"/>
    <w:rsid w:val="00703BE5"/>
    <w:rsid w:val="0073017E"/>
    <w:rsid w:val="00765689"/>
    <w:rsid w:val="0078028F"/>
    <w:rsid w:val="00786BC0"/>
    <w:rsid w:val="00787ABB"/>
    <w:rsid w:val="007A5218"/>
    <w:rsid w:val="007E1014"/>
    <w:rsid w:val="007E3566"/>
    <w:rsid w:val="00805A43"/>
    <w:rsid w:val="0081358A"/>
    <w:rsid w:val="00823000"/>
    <w:rsid w:val="00834F87"/>
    <w:rsid w:val="00865668"/>
    <w:rsid w:val="00887D1F"/>
    <w:rsid w:val="008A0798"/>
    <w:rsid w:val="008A6A1B"/>
    <w:rsid w:val="008B067E"/>
    <w:rsid w:val="008C5EDF"/>
    <w:rsid w:val="008D3310"/>
    <w:rsid w:val="008D6F4C"/>
    <w:rsid w:val="00937B10"/>
    <w:rsid w:val="00951C67"/>
    <w:rsid w:val="009622CC"/>
    <w:rsid w:val="00965E33"/>
    <w:rsid w:val="0097202B"/>
    <w:rsid w:val="0098217A"/>
    <w:rsid w:val="009B5243"/>
    <w:rsid w:val="009B7AB6"/>
    <w:rsid w:val="009D1221"/>
    <w:rsid w:val="009D665E"/>
    <w:rsid w:val="009E7DDE"/>
    <w:rsid w:val="009F3091"/>
    <w:rsid w:val="00A02F3D"/>
    <w:rsid w:val="00A120CF"/>
    <w:rsid w:val="00A12BBB"/>
    <w:rsid w:val="00A27FF7"/>
    <w:rsid w:val="00A50B2D"/>
    <w:rsid w:val="00A5125E"/>
    <w:rsid w:val="00A561F2"/>
    <w:rsid w:val="00A61B04"/>
    <w:rsid w:val="00A8640B"/>
    <w:rsid w:val="00A871C2"/>
    <w:rsid w:val="00A941D4"/>
    <w:rsid w:val="00AA0F30"/>
    <w:rsid w:val="00AA2A6B"/>
    <w:rsid w:val="00AD03E5"/>
    <w:rsid w:val="00AD53B9"/>
    <w:rsid w:val="00AF11C4"/>
    <w:rsid w:val="00B1664A"/>
    <w:rsid w:val="00B16CF5"/>
    <w:rsid w:val="00B2024D"/>
    <w:rsid w:val="00B21778"/>
    <w:rsid w:val="00B41667"/>
    <w:rsid w:val="00B42566"/>
    <w:rsid w:val="00B433AC"/>
    <w:rsid w:val="00B46690"/>
    <w:rsid w:val="00B50214"/>
    <w:rsid w:val="00B76A73"/>
    <w:rsid w:val="00B9314D"/>
    <w:rsid w:val="00BB1694"/>
    <w:rsid w:val="00BC16FA"/>
    <w:rsid w:val="00BE64E6"/>
    <w:rsid w:val="00BF06F3"/>
    <w:rsid w:val="00C03A1E"/>
    <w:rsid w:val="00C24B7F"/>
    <w:rsid w:val="00C30116"/>
    <w:rsid w:val="00C327C5"/>
    <w:rsid w:val="00C44544"/>
    <w:rsid w:val="00C5520B"/>
    <w:rsid w:val="00C73B2D"/>
    <w:rsid w:val="00C82DFD"/>
    <w:rsid w:val="00C84E04"/>
    <w:rsid w:val="00C85EFF"/>
    <w:rsid w:val="00C8613C"/>
    <w:rsid w:val="00C92DB7"/>
    <w:rsid w:val="00CA0B8C"/>
    <w:rsid w:val="00CA52CA"/>
    <w:rsid w:val="00CB6263"/>
    <w:rsid w:val="00CD3F5C"/>
    <w:rsid w:val="00CE19FA"/>
    <w:rsid w:val="00CE4195"/>
    <w:rsid w:val="00CE63EE"/>
    <w:rsid w:val="00D01988"/>
    <w:rsid w:val="00D14ACC"/>
    <w:rsid w:val="00D410FE"/>
    <w:rsid w:val="00D5218A"/>
    <w:rsid w:val="00D60425"/>
    <w:rsid w:val="00D6481D"/>
    <w:rsid w:val="00D71052"/>
    <w:rsid w:val="00DA4728"/>
    <w:rsid w:val="00DB205D"/>
    <w:rsid w:val="00DB3CF3"/>
    <w:rsid w:val="00DB5DF7"/>
    <w:rsid w:val="00DC1D48"/>
    <w:rsid w:val="00DC55D4"/>
    <w:rsid w:val="00DF39CE"/>
    <w:rsid w:val="00E017BF"/>
    <w:rsid w:val="00E106C7"/>
    <w:rsid w:val="00E464DE"/>
    <w:rsid w:val="00E60A50"/>
    <w:rsid w:val="00E81325"/>
    <w:rsid w:val="00E940E4"/>
    <w:rsid w:val="00E9693D"/>
    <w:rsid w:val="00EA26DD"/>
    <w:rsid w:val="00EB7B27"/>
    <w:rsid w:val="00EE7EFD"/>
    <w:rsid w:val="00F0106F"/>
    <w:rsid w:val="00F06410"/>
    <w:rsid w:val="00F12B94"/>
    <w:rsid w:val="00F14CAC"/>
    <w:rsid w:val="00F2215D"/>
    <w:rsid w:val="00F3034B"/>
    <w:rsid w:val="00F31D01"/>
    <w:rsid w:val="00F40398"/>
    <w:rsid w:val="00F4639D"/>
    <w:rsid w:val="00F51BDE"/>
    <w:rsid w:val="00F54B95"/>
    <w:rsid w:val="00F66674"/>
    <w:rsid w:val="00F733DF"/>
    <w:rsid w:val="00F86604"/>
    <w:rsid w:val="00F932EC"/>
    <w:rsid w:val="00FA6669"/>
    <w:rsid w:val="00FC2137"/>
    <w:rsid w:val="00FE0B10"/>
    <w:rsid w:val="00FF5ED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BD067"/>
  <w15:docId w15:val="{7C7E9814-DA29-4202-A6AE-0E5F7768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CE19FA"/>
    <w:pPr>
      <w:spacing w:before="100" w:after="100" w:line="260" w:lineRule="exact"/>
      <w:ind w:right="-8"/>
    </w:pPr>
    <w:rPr>
      <w:rFonts w:ascii="Arial" w:hAnsi="Arial"/>
      <w:sz w:val="20"/>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3E272B"/>
  </w:style>
  <w:style w:type="character" w:customStyle="1" w:styleId="FedL1HeadingChar">
    <w:name w:val="Fed L1 Heading Char"/>
    <w:basedOn w:val="Heading1Char"/>
    <w:link w:val="FedL1Heading"/>
    <w:rsid w:val="003E272B"/>
    <w:rPr>
      <w:rFonts w:ascii="Arial" w:eastAsiaTheme="majorEastAsia" w:hAnsi="Arial" w:cstheme="majorBidi"/>
      <w:b/>
      <w:bCs/>
      <w:color w:val="004786"/>
      <w:sz w:val="32"/>
      <w:szCs w:val="32"/>
    </w:rPr>
  </w:style>
  <w:style w:type="paragraph" w:customStyle="1" w:styleId="FedL2Head">
    <w:name w:val="Fed L2 Head"/>
    <w:basedOn w:val="Heading2"/>
    <w:next w:val="FedBody1013"/>
    <w:link w:val="FedL2HeadChar"/>
    <w:qFormat/>
    <w:rsid w:val="00F4639D"/>
    <w:rPr>
      <w:sz w:val="28"/>
    </w:rPr>
  </w:style>
  <w:style w:type="character" w:customStyle="1" w:styleId="FedL2HeadChar">
    <w:name w:val="Fed L2 Head Char"/>
    <w:basedOn w:val="Heading2Char"/>
    <w:link w:val="FedL2Head"/>
    <w:rsid w:val="00F4639D"/>
    <w:rPr>
      <w:rFonts w:ascii="Arial" w:eastAsia="MS Mincho" w:hAnsi="Arial" w:cs="Arial"/>
      <w:b/>
      <w:color w:val="006AAC"/>
      <w:sz w:val="28"/>
    </w:rPr>
  </w:style>
  <w:style w:type="paragraph" w:customStyle="1" w:styleId="FedL3Head">
    <w:name w:val="Fed L3 Head"/>
    <w:basedOn w:val="Heading3"/>
    <w:next w:val="FedBody1013"/>
    <w:link w:val="FedL3HeadChar"/>
    <w:qFormat/>
    <w:rsid w:val="00F06410"/>
    <w:rPr>
      <w:color w:val="777877" w:themeColor="accent1"/>
    </w:rPr>
  </w:style>
  <w:style w:type="character" w:customStyle="1" w:styleId="FedL3HeadChar">
    <w:name w:val="Fed L3 Head Char"/>
    <w:basedOn w:val="Heading3Char"/>
    <w:link w:val="FedL3Head"/>
    <w:rsid w:val="00F06410"/>
    <w:rPr>
      <w:rFonts w:ascii="Arial" w:eastAsiaTheme="majorEastAsia" w:hAnsi="Arial" w:cstheme="majorBidi"/>
      <w:b/>
      <w:bCs/>
      <w:color w:val="777877" w:themeColor="accent1"/>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1019B2"/>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
    <w:qFormat/>
    <w:rsid w:val="00834F87"/>
    <w:pPr>
      <w:keepLines/>
      <w:spacing w:after="0" w:line="480" w:lineRule="exact"/>
      <w:outlineLvl w:val="0"/>
    </w:pPr>
    <w:rPr>
      <w:rFonts w:ascii="Arial" w:hAnsi="Arial"/>
      <w:b/>
      <w:color w:val="004786"/>
      <w:sz w:val="52"/>
    </w:rPr>
  </w:style>
  <w:style w:type="paragraph" w:styleId="TOCHeading">
    <w:name w:val="TOC Heading"/>
    <w:basedOn w:val="Heading1"/>
    <w:next w:val="Normal"/>
    <w:uiPriority w:val="39"/>
    <w:unhideWhenUsed/>
    <w:qFormat/>
    <w:rsid w:val="0023517E"/>
    <w:pPr>
      <w:spacing w:before="480" w:after="0" w:line="276" w:lineRule="auto"/>
      <w:outlineLvl w:val="9"/>
    </w:pPr>
    <w:rPr>
      <w:rFonts w:asciiTheme="majorHAnsi" w:hAnsiTheme="majorHAnsi"/>
      <w:color w:val="595959" w:themeColor="accent1" w:themeShade="BF"/>
      <w:sz w:val="28"/>
      <w:szCs w:val="28"/>
    </w:rPr>
  </w:style>
  <w:style w:type="paragraph" w:styleId="TOC2">
    <w:name w:val="toc 2"/>
    <w:basedOn w:val="Normal"/>
    <w:next w:val="Normal"/>
    <w:autoRedefine/>
    <w:uiPriority w:val="39"/>
    <w:unhideWhenUsed/>
    <w:rsid w:val="009E7DDE"/>
    <w:pPr>
      <w:tabs>
        <w:tab w:val="right" w:leader="dot" w:pos="9072"/>
      </w:tabs>
      <w:spacing w:before="200" w:after="0" w:line="240" w:lineRule="exact"/>
    </w:pPr>
    <w:rPr>
      <w:rFonts w:ascii="Arial" w:hAnsi="Arial"/>
      <w:b/>
      <w:color w:val="0076B7"/>
      <w:sz w:val="20"/>
    </w:rPr>
  </w:style>
  <w:style w:type="paragraph" w:styleId="TOC1">
    <w:name w:val="toc 1"/>
    <w:basedOn w:val="Normal"/>
    <w:next w:val="Normal"/>
    <w:autoRedefine/>
    <w:uiPriority w:val="39"/>
    <w:unhideWhenUsed/>
    <w:rsid w:val="009E7DDE"/>
    <w:pPr>
      <w:tabs>
        <w:tab w:val="right" w:pos="9072"/>
      </w:tabs>
      <w:spacing w:before="160" w:after="0" w:line="260" w:lineRule="exact"/>
    </w:pPr>
    <w:rPr>
      <w:rFonts w:ascii="Arial" w:hAnsi="Arial"/>
      <w:b/>
      <w:color w:val="004786"/>
      <w:sz w:val="24"/>
      <w:szCs w:val="24"/>
    </w:rPr>
  </w:style>
  <w:style w:type="paragraph" w:styleId="TOC3">
    <w:name w:val="toc 3"/>
    <w:basedOn w:val="Normal"/>
    <w:next w:val="Normal"/>
    <w:autoRedefine/>
    <w:uiPriority w:val="39"/>
    <w:unhideWhenUsed/>
    <w:rsid w:val="009E7DDE"/>
    <w:pPr>
      <w:tabs>
        <w:tab w:val="right" w:leader="dot" w:pos="9072"/>
      </w:tabs>
      <w:spacing w:before="60" w:after="60" w:line="240" w:lineRule="exact"/>
      <w:ind w:left="221"/>
    </w:pPr>
    <w:rPr>
      <w:rFonts w:ascii="Arial" w:hAnsi="Arial"/>
      <w:sz w:val="18"/>
    </w:rPr>
  </w:style>
  <w:style w:type="paragraph" w:styleId="TOC4">
    <w:name w:val="toc 4"/>
    <w:basedOn w:val="Normal"/>
    <w:next w:val="Normal"/>
    <w:autoRedefine/>
    <w:rsid w:val="0023517E"/>
    <w:pPr>
      <w:pBdr>
        <w:between w:val="double" w:sz="6" w:space="0" w:color="auto"/>
      </w:pBdr>
      <w:spacing w:after="0"/>
      <w:ind w:left="440"/>
    </w:pPr>
    <w:rPr>
      <w:sz w:val="20"/>
      <w:szCs w:val="20"/>
    </w:rPr>
  </w:style>
  <w:style w:type="paragraph" w:styleId="TOC5">
    <w:name w:val="toc 5"/>
    <w:basedOn w:val="Normal"/>
    <w:next w:val="Normal"/>
    <w:autoRedefine/>
    <w:rsid w:val="0023517E"/>
    <w:pPr>
      <w:pBdr>
        <w:between w:val="double" w:sz="6" w:space="0" w:color="auto"/>
      </w:pBdr>
      <w:spacing w:after="0"/>
      <w:ind w:left="660"/>
    </w:pPr>
    <w:rPr>
      <w:sz w:val="20"/>
      <w:szCs w:val="20"/>
    </w:rPr>
  </w:style>
  <w:style w:type="paragraph" w:styleId="TOC6">
    <w:name w:val="toc 6"/>
    <w:basedOn w:val="Normal"/>
    <w:next w:val="Normal"/>
    <w:autoRedefine/>
    <w:rsid w:val="0023517E"/>
    <w:pPr>
      <w:pBdr>
        <w:between w:val="double" w:sz="6" w:space="0" w:color="auto"/>
      </w:pBdr>
      <w:spacing w:after="0"/>
      <w:ind w:left="880"/>
    </w:pPr>
    <w:rPr>
      <w:sz w:val="20"/>
      <w:szCs w:val="20"/>
    </w:rPr>
  </w:style>
  <w:style w:type="paragraph" w:styleId="TOC7">
    <w:name w:val="toc 7"/>
    <w:basedOn w:val="Normal"/>
    <w:next w:val="Normal"/>
    <w:autoRedefine/>
    <w:rsid w:val="0023517E"/>
    <w:pPr>
      <w:pBdr>
        <w:between w:val="double" w:sz="6" w:space="0" w:color="auto"/>
      </w:pBdr>
      <w:spacing w:after="0"/>
      <w:ind w:left="1100"/>
    </w:pPr>
    <w:rPr>
      <w:sz w:val="20"/>
      <w:szCs w:val="20"/>
    </w:rPr>
  </w:style>
  <w:style w:type="paragraph" w:styleId="TOC8">
    <w:name w:val="toc 8"/>
    <w:basedOn w:val="Normal"/>
    <w:next w:val="Normal"/>
    <w:autoRedefine/>
    <w:rsid w:val="0023517E"/>
    <w:pPr>
      <w:pBdr>
        <w:between w:val="double" w:sz="6" w:space="0" w:color="auto"/>
      </w:pBdr>
      <w:spacing w:after="0"/>
      <w:ind w:left="1320"/>
    </w:pPr>
    <w:rPr>
      <w:sz w:val="20"/>
      <w:szCs w:val="20"/>
    </w:rPr>
  </w:style>
  <w:style w:type="paragraph" w:styleId="TOC9">
    <w:name w:val="toc 9"/>
    <w:basedOn w:val="Normal"/>
    <w:next w:val="Normal"/>
    <w:autoRedefine/>
    <w:rsid w:val="0023517E"/>
    <w:pPr>
      <w:pBdr>
        <w:between w:val="double" w:sz="6" w:space="0" w:color="auto"/>
      </w:pBdr>
      <w:spacing w:after="0"/>
      <w:ind w:left="1540"/>
    </w:pPr>
    <w:rPr>
      <w:sz w:val="20"/>
      <w:szCs w:val="20"/>
    </w:rPr>
  </w:style>
  <w:style w:type="paragraph" w:styleId="BalloonText">
    <w:name w:val="Balloon Text"/>
    <w:basedOn w:val="Normal"/>
    <w:link w:val="BalloonTextChar"/>
    <w:rsid w:val="00703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3AD4"/>
    <w:rPr>
      <w:rFonts w:ascii="Tahoma" w:eastAsiaTheme="minorEastAsia" w:hAnsi="Tahoma" w:cs="Tahoma"/>
      <w:sz w:val="16"/>
      <w:szCs w:val="16"/>
      <w:lang w:val="en-AU" w:eastAsia="zh-CN"/>
    </w:rPr>
  </w:style>
  <w:style w:type="character" w:styleId="CommentReference">
    <w:name w:val="annotation reference"/>
    <w:basedOn w:val="DefaultParagraphFont"/>
    <w:semiHidden/>
    <w:unhideWhenUsed/>
    <w:rsid w:val="00A02F3D"/>
    <w:rPr>
      <w:sz w:val="16"/>
      <w:szCs w:val="16"/>
    </w:rPr>
  </w:style>
  <w:style w:type="paragraph" w:styleId="CommentText">
    <w:name w:val="annotation text"/>
    <w:basedOn w:val="Normal"/>
    <w:link w:val="CommentTextChar"/>
    <w:semiHidden/>
    <w:unhideWhenUsed/>
    <w:rsid w:val="00A02F3D"/>
    <w:pPr>
      <w:spacing w:line="240" w:lineRule="auto"/>
    </w:pPr>
    <w:rPr>
      <w:sz w:val="20"/>
      <w:szCs w:val="20"/>
    </w:rPr>
  </w:style>
  <w:style w:type="character" w:customStyle="1" w:styleId="CommentTextChar">
    <w:name w:val="Comment Text Char"/>
    <w:basedOn w:val="DefaultParagraphFont"/>
    <w:link w:val="CommentText"/>
    <w:semiHidden/>
    <w:rsid w:val="00A02F3D"/>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A02F3D"/>
    <w:rPr>
      <w:b/>
      <w:bCs/>
    </w:rPr>
  </w:style>
  <w:style w:type="character" w:customStyle="1" w:styleId="CommentSubjectChar">
    <w:name w:val="Comment Subject Char"/>
    <w:basedOn w:val="CommentTextChar"/>
    <w:link w:val="CommentSubject"/>
    <w:semiHidden/>
    <w:rsid w:val="00A02F3D"/>
    <w:rPr>
      <w:rFonts w:eastAsiaTheme="minorEastAsia"/>
      <w:b/>
      <w:bCs/>
      <w:sz w:val="20"/>
      <w:szCs w:val="20"/>
      <w:lang w:val="en-AU" w:eastAsia="zh-CN"/>
    </w:rPr>
  </w:style>
  <w:style w:type="table" w:styleId="PlainTable4">
    <w:name w:val="Plain Table 4"/>
    <w:basedOn w:val="TableNormal"/>
    <w:uiPriority w:val="44"/>
    <w:rsid w:val="003629B0"/>
    <w:rPr>
      <w:sz w:val="22"/>
      <w:szCs w:val="22"/>
      <w:lang w:val="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92723">
      <w:bodyDiv w:val="1"/>
      <w:marLeft w:val="0"/>
      <w:marRight w:val="0"/>
      <w:marTop w:val="0"/>
      <w:marBottom w:val="0"/>
      <w:divBdr>
        <w:top w:val="none" w:sz="0" w:space="0" w:color="auto"/>
        <w:left w:val="none" w:sz="0" w:space="0" w:color="auto"/>
        <w:bottom w:val="none" w:sz="0" w:space="0" w:color="auto"/>
        <w:right w:val="none" w:sz="0" w:space="0" w:color="auto"/>
      </w:divBdr>
    </w:div>
    <w:div w:id="142908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ash\Desktop\FedU_Report_A4_COL_2013.dotx" TargetMode="External"/></Relationships>
</file>

<file path=word/theme/theme1.xml><?xml version="1.0" encoding="utf-8"?>
<a:theme xmlns:a="http://schemas.openxmlformats.org/drawingml/2006/main" name="Office Theme">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B326-9BDF-4E90-85A5-CCB842B1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FedU_Report_A4_COL_2013</Template>
  <TotalTime>104</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Nash</dc:creator>
  <cp:lastModifiedBy>Shelley Nash</cp:lastModifiedBy>
  <cp:revision>8</cp:revision>
  <cp:lastPrinted>2019-07-26T04:25:00Z</cp:lastPrinted>
  <dcterms:created xsi:type="dcterms:W3CDTF">2019-07-24T02:06:00Z</dcterms:created>
  <dcterms:modified xsi:type="dcterms:W3CDTF">2019-07-26T09:40:00Z</dcterms:modified>
</cp:coreProperties>
</file>