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21" w:rsidRPr="00626E3E" w:rsidRDefault="00FD7E21" w:rsidP="00FD7E21">
      <w:pPr>
        <w:pStyle w:val="Default"/>
        <w:rPr>
          <w:rFonts w:ascii="Arial" w:hAnsi="Arial" w:cs="Arial"/>
          <w:sz w:val="22"/>
          <w:szCs w:val="22"/>
        </w:rPr>
      </w:pPr>
      <w:r w:rsidRPr="00626E3E">
        <w:rPr>
          <w:rFonts w:ascii="Arial" w:hAnsi="Arial" w:cs="Arial"/>
          <w:sz w:val="22"/>
          <w:szCs w:val="22"/>
        </w:rPr>
        <w:t xml:space="preserve">In preparation for the forthcoming staff vote, the following table provides a summary guide </w:t>
      </w:r>
      <w:r w:rsidR="004854DE">
        <w:rPr>
          <w:rFonts w:ascii="Arial" w:hAnsi="Arial" w:cs="Arial"/>
          <w:sz w:val="22"/>
          <w:szCs w:val="22"/>
        </w:rPr>
        <w:t xml:space="preserve">(with hyperlinks to the relevant clauses) </w:t>
      </w:r>
      <w:r w:rsidRPr="00626E3E">
        <w:rPr>
          <w:rFonts w:ascii="Arial" w:hAnsi="Arial" w:cs="Arial"/>
          <w:sz w:val="22"/>
          <w:szCs w:val="22"/>
        </w:rPr>
        <w:t xml:space="preserve">to the </w:t>
      </w:r>
      <w:r w:rsidR="000C58C8">
        <w:rPr>
          <w:rFonts w:ascii="Arial" w:hAnsi="Arial" w:cs="Arial"/>
          <w:sz w:val="22"/>
          <w:szCs w:val="22"/>
        </w:rPr>
        <w:t>changes and additions</w:t>
      </w:r>
      <w:r w:rsidRPr="00626E3E">
        <w:rPr>
          <w:rFonts w:ascii="Arial" w:hAnsi="Arial" w:cs="Arial"/>
          <w:sz w:val="22"/>
          <w:szCs w:val="22"/>
        </w:rPr>
        <w:t xml:space="preserve"> in the proposed Federation University </w:t>
      </w:r>
      <w:r w:rsidR="00C1129A">
        <w:rPr>
          <w:rFonts w:ascii="Arial" w:hAnsi="Arial" w:cs="Arial"/>
          <w:sz w:val="22"/>
          <w:szCs w:val="22"/>
        </w:rPr>
        <w:t xml:space="preserve">Australia </w:t>
      </w:r>
      <w:r w:rsidRPr="00626E3E">
        <w:rPr>
          <w:rFonts w:ascii="Arial" w:hAnsi="Arial" w:cs="Arial"/>
          <w:sz w:val="22"/>
          <w:szCs w:val="22"/>
        </w:rPr>
        <w:t xml:space="preserve">Union Collective Agreement (Academic and General Staff) 2015-2018 (the “Agreement”), including the main changes it introduces compared with the current University of Ballarat Union Collective Agreement (Academic and General Staff) 2010-2012. </w:t>
      </w:r>
    </w:p>
    <w:p w:rsidR="00FD7E21" w:rsidRPr="00626E3E" w:rsidRDefault="00FD7E21" w:rsidP="00FD7E21">
      <w:pPr>
        <w:pStyle w:val="Default"/>
        <w:rPr>
          <w:rFonts w:ascii="Arial" w:hAnsi="Arial" w:cs="Arial"/>
          <w:sz w:val="22"/>
          <w:szCs w:val="22"/>
        </w:rPr>
      </w:pPr>
    </w:p>
    <w:p w:rsidR="00FD7E21" w:rsidRDefault="00FD7E21" w:rsidP="007E6762">
      <w:pPr>
        <w:pStyle w:val="Default"/>
        <w:spacing w:after="60"/>
        <w:rPr>
          <w:rFonts w:ascii="Arial" w:hAnsi="Arial" w:cs="Arial"/>
          <w:sz w:val="22"/>
          <w:szCs w:val="22"/>
        </w:rPr>
      </w:pPr>
      <w:r w:rsidRPr="00626E3E">
        <w:rPr>
          <w:rFonts w:ascii="Arial" w:hAnsi="Arial" w:cs="Arial"/>
          <w:sz w:val="22"/>
          <w:szCs w:val="22"/>
        </w:rPr>
        <w:t xml:space="preserve">The following table is not a legal or exhaustive document and staff are encouraged to read the full text of the </w:t>
      </w:r>
      <w:r w:rsidR="00D069DB">
        <w:rPr>
          <w:rFonts w:ascii="Arial" w:hAnsi="Arial" w:cs="Arial"/>
          <w:sz w:val="22"/>
          <w:szCs w:val="22"/>
        </w:rPr>
        <w:t>proposed Agreement available at:</w:t>
      </w:r>
    </w:p>
    <w:p w:rsidR="00D069DB" w:rsidRPr="007E6762" w:rsidRDefault="007E6762" w:rsidP="00FD7E21">
      <w:pPr>
        <w:pStyle w:val="Default"/>
        <w:rPr>
          <w:rFonts w:ascii="Arial" w:hAnsi="Arial" w:cs="Arial"/>
          <w:sz w:val="20"/>
          <w:szCs w:val="20"/>
        </w:rPr>
      </w:pPr>
      <w:r>
        <w:rPr>
          <w:rFonts w:ascii="Arial" w:hAnsi="Arial" w:cs="Arial"/>
          <w:sz w:val="22"/>
          <w:szCs w:val="20"/>
        </w:rPr>
        <w:t xml:space="preserve">Federation </w:t>
      </w:r>
      <w:r w:rsidR="00D069DB" w:rsidRPr="007E6762">
        <w:rPr>
          <w:rFonts w:ascii="Arial" w:hAnsi="Arial" w:cs="Arial"/>
          <w:sz w:val="22"/>
          <w:szCs w:val="20"/>
        </w:rPr>
        <w:t>&gt; Staff &gt; Working at FedUni &gt; Human Resources &gt; Enterprise bargaining &gt;</w:t>
      </w:r>
      <w:r w:rsidR="00D069DB" w:rsidRPr="007E6762">
        <w:rPr>
          <w:rFonts w:ascii="Arial" w:hAnsi="Arial" w:cs="Arial"/>
          <w:sz w:val="28"/>
          <w:szCs w:val="20"/>
        </w:rPr>
        <w:t xml:space="preserve"> </w:t>
      </w:r>
      <w:hyperlink r:id="rId8" w:history="1">
        <w:r w:rsidR="00D069DB" w:rsidRPr="007E6762">
          <w:rPr>
            <w:rStyle w:val="Hyperlink"/>
            <w:rFonts w:ascii="Arial" w:hAnsi="Arial" w:cs="Arial"/>
            <w:sz w:val="22"/>
            <w:szCs w:val="20"/>
          </w:rPr>
          <w:t>Proposed 2015-2018 Agreemen</w:t>
        </w:r>
        <w:r w:rsidR="00A02DCA" w:rsidRPr="007E6762">
          <w:rPr>
            <w:rStyle w:val="Hyperlink"/>
            <w:rFonts w:ascii="Arial" w:hAnsi="Arial" w:cs="Arial"/>
            <w:sz w:val="22"/>
            <w:szCs w:val="20"/>
          </w:rPr>
          <w:t>t (docx, 213kb)</w:t>
        </w:r>
      </w:hyperlink>
    </w:p>
    <w:p w:rsidR="00FD7E21" w:rsidRPr="00626E3E" w:rsidRDefault="00FD7E21" w:rsidP="00FD7E21">
      <w:pPr>
        <w:pStyle w:val="Default"/>
        <w:rPr>
          <w:rFonts w:ascii="Arial" w:hAnsi="Arial" w:cs="Arial"/>
          <w:sz w:val="22"/>
          <w:szCs w:val="22"/>
        </w:rPr>
      </w:pPr>
    </w:p>
    <w:p w:rsidR="00FD7E21" w:rsidRPr="00626E3E" w:rsidRDefault="00FD7E21" w:rsidP="00FD7E21">
      <w:pPr>
        <w:pStyle w:val="Default"/>
        <w:rPr>
          <w:rFonts w:ascii="Arial" w:hAnsi="Arial" w:cs="Arial"/>
          <w:sz w:val="22"/>
          <w:szCs w:val="22"/>
        </w:rPr>
      </w:pPr>
      <w:r w:rsidRPr="00626E3E">
        <w:rPr>
          <w:rFonts w:ascii="Arial" w:hAnsi="Arial" w:cs="Arial"/>
          <w:sz w:val="22"/>
          <w:szCs w:val="22"/>
        </w:rPr>
        <w:t xml:space="preserve">Any inquiries regarding the proposed Agreement may be directed to Human Resources on telephone 03 5327 9756 or via email at </w:t>
      </w:r>
      <w:hyperlink r:id="rId9" w:history="1">
        <w:r w:rsidR="00C1129A" w:rsidRPr="00975AB6">
          <w:rPr>
            <w:rStyle w:val="Hyperlink"/>
            <w:rFonts w:ascii="Arial" w:hAnsi="Arial" w:cs="Arial"/>
            <w:sz w:val="22"/>
            <w:szCs w:val="22"/>
          </w:rPr>
          <w:t>hr@federation.edu.au</w:t>
        </w:r>
      </w:hyperlink>
      <w:r w:rsidR="00C1129A">
        <w:rPr>
          <w:rFonts w:ascii="Arial" w:hAnsi="Arial" w:cs="Arial"/>
          <w:sz w:val="22"/>
          <w:szCs w:val="22"/>
        </w:rPr>
        <w:t>.</w:t>
      </w:r>
    </w:p>
    <w:p w:rsidR="00A5475E" w:rsidRDefault="00A5475E" w:rsidP="00D856DC">
      <w:pPr>
        <w:spacing w:after="0"/>
        <w:rPr>
          <w:rFonts w:ascii="Arial" w:hAnsi="Arial" w:cs="Arial"/>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692"/>
        <w:gridCol w:w="9248"/>
      </w:tblGrid>
      <w:tr w:rsidR="0017224A" w:rsidRPr="004348E8" w:rsidTr="00876DC6">
        <w:trPr>
          <w:tblHeader/>
        </w:trPr>
        <w:tc>
          <w:tcPr>
            <w:tcW w:w="3908" w:type="dxa"/>
            <w:vAlign w:val="center"/>
          </w:tcPr>
          <w:p w:rsidR="0017224A" w:rsidRPr="009F4271" w:rsidRDefault="0017224A" w:rsidP="00876DC6">
            <w:pPr>
              <w:pStyle w:val="agpsbold"/>
              <w:spacing w:before="60" w:after="60"/>
              <w:ind w:left="34"/>
              <w:rPr>
                <w:rFonts w:ascii="Arial" w:hAnsi="Arial" w:cs="Arial"/>
                <w:sz w:val="18"/>
                <w:szCs w:val="18"/>
                <w:lang w:val="en-US"/>
              </w:rPr>
            </w:pPr>
            <w:r w:rsidRPr="009F4271">
              <w:rPr>
                <w:rFonts w:ascii="Arial" w:hAnsi="Arial" w:cs="Arial"/>
                <w:sz w:val="18"/>
                <w:szCs w:val="18"/>
                <w:lang w:val="en-US"/>
              </w:rPr>
              <w:t>Clause</w:t>
            </w:r>
          </w:p>
        </w:tc>
        <w:tc>
          <w:tcPr>
            <w:tcW w:w="1692" w:type="dxa"/>
            <w:vAlign w:val="center"/>
          </w:tcPr>
          <w:p w:rsidR="009F4271" w:rsidRPr="009F4271" w:rsidRDefault="00133203" w:rsidP="00C1129A">
            <w:pPr>
              <w:pStyle w:val="agpsbold"/>
              <w:spacing w:before="60" w:after="60"/>
              <w:rPr>
                <w:rFonts w:ascii="Arial" w:hAnsi="Arial" w:cs="Arial"/>
                <w:sz w:val="18"/>
                <w:szCs w:val="18"/>
                <w:lang w:val="en-US"/>
              </w:rPr>
            </w:pPr>
            <w:r w:rsidRPr="009F4271">
              <w:rPr>
                <w:rFonts w:ascii="Arial" w:hAnsi="Arial" w:cs="Arial"/>
                <w:sz w:val="18"/>
                <w:szCs w:val="18"/>
                <w:lang w:val="en-US"/>
              </w:rPr>
              <w:t xml:space="preserve">N </w:t>
            </w:r>
            <w:r w:rsidR="009F4271" w:rsidRPr="009F4271">
              <w:rPr>
                <w:rFonts w:ascii="Arial" w:hAnsi="Arial" w:cs="Arial"/>
                <w:b w:val="0"/>
                <w:sz w:val="18"/>
                <w:szCs w:val="18"/>
                <w:lang w:val="en-US"/>
              </w:rPr>
              <w:t>= new</w:t>
            </w:r>
          </w:p>
          <w:p w:rsidR="0017224A" w:rsidRPr="009F4271" w:rsidRDefault="00133203" w:rsidP="00C1129A">
            <w:pPr>
              <w:pStyle w:val="agpsbold"/>
              <w:spacing w:before="60" w:after="60"/>
              <w:rPr>
                <w:rFonts w:ascii="Arial" w:hAnsi="Arial" w:cs="Arial"/>
                <w:sz w:val="18"/>
                <w:szCs w:val="18"/>
                <w:lang w:val="en-US"/>
              </w:rPr>
            </w:pPr>
            <w:r w:rsidRPr="009F4271">
              <w:rPr>
                <w:rFonts w:ascii="Arial" w:hAnsi="Arial" w:cs="Arial"/>
                <w:sz w:val="18"/>
                <w:szCs w:val="18"/>
                <w:lang w:val="en-US"/>
              </w:rPr>
              <w:t>A</w:t>
            </w:r>
            <w:r w:rsidR="009F4271" w:rsidRPr="009F4271">
              <w:rPr>
                <w:rFonts w:ascii="Arial" w:hAnsi="Arial" w:cs="Arial"/>
                <w:sz w:val="18"/>
                <w:szCs w:val="18"/>
                <w:lang w:val="en-US"/>
              </w:rPr>
              <w:t xml:space="preserve"> </w:t>
            </w:r>
            <w:r w:rsidR="009F4271" w:rsidRPr="009F4271">
              <w:rPr>
                <w:rFonts w:ascii="Arial" w:hAnsi="Arial" w:cs="Arial"/>
                <w:b w:val="0"/>
                <w:sz w:val="18"/>
                <w:szCs w:val="18"/>
                <w:lang w:val="en-US"/>
              </w:rPr>
              <w:t>= amendment</w:t>
            </w:r>
            <w:r w:rsidR="00D5746F">
              <w:rPr>
                <w:rFonts w:ascii="Arial" w:hAnsi="Arial" w:cs="Arial"/>
                <w:b w:val="0"/>
                <w:sz w:val="18"/>
                <w:szCs w:val="18"/>
                <w:lang w:val="en-US"/>
              </w:rPr>
              <w:t xml:space="preserve"> or addition</w:t>
            </w:r>
          </w:p>
        </w:tc>
        <w:tc>
          <w:tcPr>
            <w:tcW w:w="9248" w:type="dxa"/>
            <w:vAlign w:val="center"/>
          </w:tcPr>
          <w:p w:rsidR="0017224A" w:rsidRPr="00D5746F" w:rsidRDefault="0017224A" w:rsidP="00C1129A">
            <w:pPr>
              <w:pStyle w:val="agpsbold"/>
              <w:spacing w:before="60" w:after="60"/>
              <w:ind w:right="175"/>
              <w:rPr>
                <w:rFonts w:ascii="Arial" w:hAnsi="Arial" w:cs="Arial"/>
                <w:sz w:val="18"/>
                <w:szCs w:val="18"/>
                <w:lang w:val="en-US"/>
              </w:rPr>
            </w:pPr>
            <w:r w:rsidRPr="00D5746F">
              <w:rPr>
                <w:rFonts w:ascii="Arial" w:hAnsi="Arial" w:cs="Arial"/>
                <w:sz w:val="18"/>
                <w:szCs w:val="18"/>
                <w:lang w:val="en-US"/>
              </w:rPr>
              <w:t>Change or Addition</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lang w:val="en-US"/>
              </w:rPr>
            </w:pPr>
            <w:hyperlink r:id="rId10" w:anchor="Definitions" w:history="1">
              <w:r w:rsidR="0017224A" w:rsidRPr="00624D3B">
                <w:rPr>
                  <w:rStyle w:val="Hyperlink"/>
                  <w:rFonts w:ascii="Arial" w:hAnsi="Arial" w:cs="Arial"/>
                  <w:b w:val="0"/>
                  <w:sz w:val="18"/>
                  <w:szCs w:val="18"/>
                  <w:lang w:val="en-US"/>
                </w:rPr>
                <w:t xml:space="preserve">3 </w:t>
              </w:r>
              <w:r w:rsidR="00C1129A" w:rsidRPr="00624D3B">
                <w:rPr>
                  <w:rStyle w:val="Hyperlink"/>
                  <w:rFonts w:ascii="Arial" w:hAnsi="Arial" w:cs="Arial"/>
                  <w:b w:val="0"/>
                  <w:sz w:val="18"/>
                  <w:szCs w:val="18"/>
                  <w:lang w:val="en-US"/>
                </w:rPr>
                <w:t>–</w:t>
              </w:r>
              <w:r w:rsidR="0017224A" w:rsidRPr="00624D3B">
                <w:rPr>
                  <w:rStyle w:val="Hyperlink"/>
                  <w:rFonts w:ascii="Arial" w:hAnsi="Arial" w:cs="Arial"/>
                  <w:b w:val="0"/>
                  <w:sz w:val="18"/>
                  <w:szCs w:val="18"/>
                  <w:lang w:val="en-US"/>
                </w:rPr>
                <w:t xml:space="preserve"> Definitions</w:t>
              </w:r>
            </w:hyperlink>
          </w:p>
        </w:tc>
        <w:tc>
          <w:tcPr>
            <w:tcW w:w="1692" w:type="dxa"/>
          </w:tcPr>
          <w:p w:rsidR="0017224A" w:rsidRPr="009F4271" w:rsidRDefault="00FF5B53" w:rsidP="00C1129A">
            <w:pPr>
              <w:spacing w:before="60" w:after="120"/>
              <w:jc w:val="center"/>
              <w:rPr>
                <w:rFonts w:ascii="Arial" w:hAnsi="Arial" w:cs="Arial"/>
                <w:b/>
                <w:sz w:val="18"/>
                <w:szCs w:val="18"/>
                <w:lang w:val="en-US"/>
              </w:rPr>
            </w:pPr>
            <w:r>
              <w:rPr>
                <w:rFonts w:ascii="Arial" w:hAnsi="Arial" w:cs="Arial"/>
                <w:b/>
                <w:sz w:val="18"/>
                <w:szCs w:val="18"/>
                <w:lang w:val="en-US"/>
              </w:rPr>
              <w:t>A</w:t>
            </w:r>
          </w:p>
        </w:tc>
        <w:tc>
          <w:tcPr>
            <w:tcW w:w="9248" w:type="dxa"/>
          </w:tcPr>
          <w:p w:rsidR="0017224A" w:rsidRDefault="0017224A" w:rsidP="00C1129A">
            <w:pPr>
              <w:spacing w:before="60" w:after="120" w:line="240" w:lineRule="auto"/>
              <w:ind w:right="176"/>
              <w:rPr>
                <w:rFonts w:ascii="Arial" w:hAnsi="Arial" w:cs="Arial"/>
                <w:sz w:val="18"/>
                <w:szCs w:val="18"/>
              </w:rPr>
            </w:pPr>
            <w:r w:rsidRPr="004348E8">
              <w:rPr>
                <w:rFonts w:ascii="Arial" w:hAnsi="Arial" w:cs="Arial"/>
                <w:sz w:val="18"/>
                <w:szCs w:val="18"/>
                <w:lang w:val="en-US"/>
              </w:rPr>
              <w:t xml:space="preserve">The Agreement </w:t>
            </w:r>
            <w:r>
              <w:rPr>
                <w:rFonts w:ascii="Arial" w:hAnsi="Arial" w:cs="Arial"/>
                <w:sz w:val="18"/>
                <w:szCs w:val="18"/>
                <w:lang w:val="en-US"/>
              </w:rPr>
              <w:t>define</w:t>
            </w:r>
            <w:r w:rsidRPr="004348E8">
              <w:rPr>
                <w:rFonts w:ascii="Arial" w:hAnsi="Arial" w:cs="Arial"/>
                <w:sz w:val="18"/>
                <w:szCs w:val="18"/>
                <w:lang w:val="en-US"/>
              </w:rPr>
              <w:t>s</w:t>
            </w:r>
            <w:r w:rsidRPr="004348E8">
              <w:rPr>
                <w:rFonts w:ascii="Arial" w:hAnsi="Arial" w:cs="Arial"/>
                <w:b/>
                <w:sz w:val="18"/>
                <w:szCs w:val="18"/>
                <w:lang w:val="en-US"/>
              </w:rPr>
              <w:t xml:space="preserve"> </w:t>
            </w:r>
            <w:r w:rsidRPr="004348E8">
              <w:rPr>
                <w:rFonts w:ascii="Arial" w:hAnsi="Arial" w:cs="Arial"/>
                <w:b/>
                <w:sz w:val="18"/>
                <w:szCs w:val="18"/>
              </w:rPr>
              <w:t>“Gippsland Transferred Employee”</w:t>
            </w:r>
            <w:r w:rsidRPr="004348E8">
              <w:rPr>
                <w:rFonts w:ascii="Arial" w:hAnsi="Arial" w:cs="Arial"/>
                <w:sz w:val="18"/>
                <w:szCs w:val="18"/>
              </w:rPr>
              <w:t xml:space="preserve"> </w:t>
            </w:r>
            <w:r>
              <w:rPr>
                <w:rFonts w:ascii="Arial" w:hAnsi="Arial" w:cs="Arial"/>
                <w:sz w:val="18"/>
                <w:szCs w:val="18"/>
              </w:rPr>
              <w:t>a</w:t>
            </w:r>
            <w:r w:rsidRPr="004348E8">
              <w:rPr>
                <w:rFonts w:ascii="Arial" w:hAnsi="Arial" w:cs="Arial"/>
                <w:sz w:val="18"/>
                <w:szCs w:val="18"/>
              </w:rPr>
              <w:t>s a person who was an academic, professional or trades employee of Monash University at the Gippsland Campus on 31 December 2013 and who became a Federation University employee on 1 January 2014.</w:t>
            </w:r>
          </w:p>
          <w:p w:rsidR="00D45F4C" w:rsidRPr="00C1129A" w:rsidRDefault="006A010D" w:rsidP="00C1129A">
            <w:pPr>
              <w:spacing w:after="120" w:line="240" w:lineRule="auto"/>
              <w:ind w:right="176"/>
              <w:rPr>
                <w:rFonts w:ascii="Arial" w:hAnsi="Arial" w:cs="Arial"/>
                <w:sz w:val="18"/>
                <w:szCs w:val="18"/>
              </w:rPr>
            </w:pPr>
            <w:r>
              <w:rPr>
                <w:rFonts w:ascii="Arial" w:hAnsi="Arial" w:cs="Arial"/>
                <w:b/>
                <w:sz w:val="18"/>
                <w:szCs w:val="18"/>
              </w:rPr>
              <w:t xml:space="preserve">“Immediate Family” </w:t>
            </w:r>
            <w:r w:rsidRPr="00C1129A">
              <w:rPr>
                <w:rFonts w:ascii="Arial" w:hAnsi="Arial" w:cs="Arial"/>
                <w:sz w:val="18"/>
                <w:szCs w:val="18"/>
              </w:rPr>
              <w:t xml:space="preserve">is now defined in the Definitions clause and has been expanded </w:t>
            </w:r>
            <w:r w:rsidR="00840451" w:rsidRPr="00C1129A">
              <w:rPr>
                <w:rFonts w:ascii="Arial" w:hAnsi="Arial" w:cs="Arial"/>
                <w:sz w:val="18"/>
                <w:szCs w:val="18"/>
              </w:rPr>
              <w:t xml:space="preserve">to now read </w:t>
            </w:r>
            <w:r w:rsidR="00D45F4C" w:rsidRPr="00C1129A">
              <w:rPr>
                <w:rFonts w:ascii="Arial" w:hAnsi="Arial" w:cs="Arial"/>
                <w:sz w:val="18"/>
                <w:szCs w:val="18"/>
              </w:rPr>
              <w:t>as follows:</w:t>
            </w:r>
          </w:p>
          <w:p w:rsidR="00840451" w:rsidRPr="00840451" w:rsidRDefault="00840451" w:rsidP="00D856DC">
            <w:pPr>
              <w:spacing w:after="120" w:line="240" w:lineRule="auto"/>
              <w:ind w:left="317" w:right="176" w:hanging="284"/>
              <w:rPr>
                <w:rFonts w:ascii="Arial" w:hAnsi="Arial" w:cs="Arial"/>
                <w:sz w:val="18"/>
                <w:szCs w:val="18"/>
              </w:rPr>
            </w:pPr>
            <w:r>
              <w:rPr>
                <w:rFonts w:ascii="Arial" w:hAnsi="Arial" w:cs="Arial"/>
                <w:sz w:val="18"/>
                <w:szCs w:val="18"/>
              </w:rPr>
              <w:t>a</w:t>
            </w:r>
            <w:r w:rsidR="00D856DC">
              <w:rPr>
                <w:rFonts w:ascii="Arial" w:hAnsi="Arial" w:cs="Arial"/>
                <w:sz w:val="18"/>
                <w:szCs w:val="18"/>
              </w:rPr>
              <w:t>)</w:t>
            </w:r>
            <w:r w:rsidR="00D856DC">
              <w:rPr>
                <w:rFonts w:ascii="Arial" w:hAnsi="Arial" w:cs="Arial"/>
                <w:sz w:val="18"/>
                <w:szCs w:val="18"/>
              </w:rPr>
              <w:tab/>
            </w:r>
            <w:r w:rsidRPr="00840451">
              <w:rPr>
                <w:rFonts w:ascii="Arial" w:hAnsi="Arial" w:cs="Arial"/>
                <w:sz w:val="18"/>
                <w:szCs w:val="18"/>
              </w:rPr>
              <w:t>a spouse (including a former spouse, a de facto spouse, a former de facto spouse, or same sex partner);</w:t>
            </w:r>
          </w:p>
          <w:p w:rsidR="00840451" w:rsidRPr="00840451" w:rsidRDefault="00D856DC" w:rsidP="00D856DC">
            <w:pPr>
              <w:spacing w:after="120" w:line="240" w:lineRule="auto"/>
              <w:ind w:left="317" w:right="176" w:hanging="284"/>
              <w:rPr>
                <w:rFonts w:ascii="Arial" w:hAnsi="Arial" w:cs="Arial"/>
                <w:sz w:val="18"/>
                <w:szCs w:val="18"/>
              </w:rPr>
            </w:pPr>
            <w:r>
              <w:rPr>
                <w:rFonts w:ascii="Arial" w:hAnsi="Arial" w:cs="Arial"/>
                <w:sz w:val="18"/>
                <w:szCs w:val="18"/>
              </w:rPr>
              <w:t>b)</w:t>
            </w:r>
            <w:r>
              <w:rPr>
                <w:rFonts w:ascii="Arial" w:hAnsi="Arial" w:cs="Arial"/>
                <w:sz w:val="18"/>
                <w:szCs w:val="18"/>
              </w:rPr>
              <w:tab/>
            </w:r>
            <w:r w:rsidR="00840451" w:rsidRPr="00840451">
              <w:rPr>
                <w:rFonts w:ascii="Arial" w:hAnsi="Arial" w:cs="Arial"/>
                <w:sz w:val="18"/>
                <w:szCs w:val="18"/>
              </w:rPr>
              <w:t>a child (including an adopted child, a permanent care child, a foster child, a step-child or an ex-nuptial child), daughter-in-law, son-in-law, parent, parent-in-law, foster parent, legal guardian, grandparent, grandchild or sibling of the employee or of the employee’s spouse;</w:t>
            </w:r>
          </w:p>
          <w:p w:rsidR="00840451" w:rsidRPr="00840451" w:rsidRDefault="00840451" w:rsidP="00D856DC">
            <w:pPr>
              <w:spacing w:after="120" w:line="240" w:lineRule="auto"/>
              <w:ind w:left="317" w:right="176" w:hanging="284"/>
              <w:rPr>
                <w:rFonts w:ascii="Arial" w:hAnsi="Arial" w:cs="Arial"/>
                <w:sz w:val="18"/>
                <w:szCs w:val="18"/>
              </w:rPr>
            </w:pPr>
            <w:r w:rsidRPr="00840451">
              <w:rPr>
                <w:rFonts w:ascii="Arial" w:hAnsi="Arial" w:cs="Arial"/>
                <w:sz w:val="18"/>
                <w:szCs w:val="18"/>
              </w:rPr>
              <w:t>c)</w:t>
            </w:r>
            <w:r w:rsidR="00D856DC">
              <w:rPr>
                <w:rFonts w:ascii="Arial" w:hAnsi="Arial" w:cs="Arial"/>
                <w:sz w:val="18"/>
                <w:szCs w:val="18"/>
              </w:rPr>
              <w:tab/>
            </w:r>
            <w:r w:rsidRPr="00840451">
              <w:rPr>
                <w:rFonts w:ascii="Arial" w:hAnsi="Arial" w:cs="Arial"/>
                <w:sz w:val="18"/>
                <w:szCs w:val="18"/>
              </w:rPr>
              <w:t>a relative who has taken the place of a parent, or a relative residing with the employee;</w:t>
            </w:r>
          </w:p>
          <w:p w:rsidR="00D5746F" w:rsidRPr="004348E8" w:rsidRDefault="00840451" w:rsidP="00D856DC">
            <w:pPr>
              <w:spacing w:after="120" w:line="240" w:lineRule="auto"/>
              <w:ind w:left="317" w:right="176" w:hanging="284"/>
              <w:rPr>
                <w:rFonts w:ascii="Arial" w:hAnsi="Arial" w:cs="Arial"/>
                <w:b/>
                <w:sz w:val="18"/>
                <w:szCs w:val="18"/>
              </w:rPr>
            </w:pPr>
            <w:r w:rsidRPr="00840451">
              <w:rPr>
                <w:rFonts w:ascii="Arial" w:hAnsi="Arial" w:cs="Arial"/>
                <w:sz w:val="18"/>
                <w:szCs w:val="18"/>
              </w:rPr>
              <w:t>d)</w:t>
            </w:r>
            <w:r w:rsidR="00D856DC">
              <w:rPr>
                <w:rFonts w:ascii="Arial" w:hAnsi="Arial" w:cs="Arial"/>
                <w:sz w:val="18"/>
                <w:szCs w:val="18"/>
              </w:rPr>
              <w:tab/>
            </w:r>
            <w:r w:rsidRPr="00840451">
              <w:rPr>
                <w:rFonts w:ascii="Arial" w:hAnsi="Arial" w:cs="Arial"/>
                <w:sz w:val="18"/>
                <w:szCs w:val="18"/>
              </w:rPr>
              <w:t>a person for whom the employee has caring responsibilities arising from an Aboriginal or Torres Strait Islander kinship relationship of equivalent status to (a)-(c) above</w:t>
            </w:r>
            <w:r w:rsidRPr="00840451">
              <w:rPr>
                <w:rFonts w:ascii="Arial" w:hAnsi="Arial" w:cs="Arial"/>
                <w:b/>
                <w:sz w:val="18"/>
                <w:szCs w:val="18"/>
              </w:rPr>
              <w:t>.</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lang w:val="en-US"/>
              </w:rPr>
            </w:pPr>
            <w:hyperlink r:id="rId11" w:anchor="OperationAgreement" w:history="1">
              <w:r w:rsidR="0017224A" w:rsidRPr="00624D3B">
                <w:rPr>
                  <w:rStyle w:val="Hyperlink"/>
                  <w:rFonts w:ascii="Arial" w:hAnsi="Arial" w:cs="Arial"/>
                  <w:b w:val="0"/>
                  <w:sz w:val="18"/>
                  <w:szCs w:val="18"/>
                  <w:lang w:val="en-US"/>
                </w:rPr>
                <w:t>4 – Operation of Agreement</w:t>
              </w:r>
            </w:hyperlink>
          </w:p>
        </w:tc>
        <w:tc>
          <w:tcPr>
            <w:tcW w:w="1692" w:type="dxa"/>
          </w:tcPr>
          <w:p w:rsidR="0017224A" w:rsidRPr="009F4271" w:rsidRDefault="00A87722"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Pr="004348E8" w:rsidRDefault="0017224A" w:rsidP="00C1129A">
            <w:pPr>
              <w:pStyle w:val="agpsbold"/>
              <w:spacing w:before="60" w:after="60"/>
              <w:ind w:right="176"/>
              <w:rPr>
                <w:rFonts w:ascii="Arial" w:hAnsi="Arial" w:cs="Arial"/>
                <w:b w:val="0"/>
                <w:sz w:val="18"/>
                <w:szCs w:val="18"/>
                <w:lang w:val="en-US"/>
              </w:rPr>
            </w:pPr>
            <w:r w:rsidRPr="004348E8">
              <w:rPr>
                <w:rFonts w:ascii="Arial" w:hAnsi="Arial" w:cs="Arial"/>
                <w:b w:val="0"/>
                <w:sz w:val="18"/>
                <w:szCs w:val="18"/>
                <w:lang w:val="en-US"/>
              </w:rPr>
              <w:t xml:space="preserve">Nominal operation of the Agreement </w:t>
            </w:r>
            <w:r>
              <w:rPr>
                <w:rFonts w:ascii="Arial" w:hAnsi="Arial" w:cs="Arial"/>
                <w:b w:val="0"/>
                <w:sz w:val="18"/>
                <w:szCs w:val="18"/>
                <w:lang w:val="en-US"/>
              </w:rPr>
              <w:t xml:space="preserve">is </w:t>
            </w:r>
            <w:r w:rsidRPr="004348E8">
              <w:rPr>
                <w:rFonts w:ascii="Arial" w:hAnsi="Arial" w:cs="Arial"/>
                <w:b w:val="0"/>
                <w:sz w:val="18"/>
                <w:szCs w:val="18"/>
                <w:lang w:val="en-US"/>
              </w:rPr>
              <w:t>from the date specified in the approval decision of the Fair Work Commission (FWC) until 31 March 2018.</w:t>
            </w:r>
          </w:p>
          <w:p w:rsidR="0017224A" w:rsidRPr="004348E8" w:rsidRDefault="0017224A" w:rsidP="00D856DC">
            <w:pPr>
              <w:pStyle w:val="agpsbold"/>
              <w:spacing w:before="60" w:after="120"/>
              <w:ind w:right="176"/>
              <w:rPr>
                <w:rFonts w:ascii="Arial" w:hAnsi="Arial" w:cs="Arial"/>
                <w:b w:val="0"/>
                <w:sz w:val="18"/>
                <w:szCs w:val="18"/>
                <w:lang w:val="en-US"/>
              </w:rPr>
            </w:pPr>
            <w:r w:rsidRPr="004348E8">
              <w:rPr>
                <w:rFonts w:ascii="Arial" w:eastAsiaTheme="minorEastAsia" w:hAnsi="Arial" w:cs="Arial"/>
                <w:b w:val="0"/>
                <w:sz w:val="18"/>
                <w:szCs w:val="18"/>
                <w:lang w:val="en-US" w:eastAsia="en-AU"/>
              </w:rPr>
              <w:t>N</w:t>
            </w:r>
            <w:r w:rsidRPr="004348E8">
              <w:rPr>
                <w:rFonts w:ascii="Arial" w:eastAsiaTheme="minorEastAsia" w:hAnsi="Arial" w:cs="Arial"/>
                <w:b w:val="0"/>
                <w:sz w:val="18"/>
                <w:szCs w:val="18"/>
                <w:lang w:eastAsia="en-AU"/>
              </w:rPr>
              <w:t>egotiations for a replacement enterprise agreement to commence three months prior to the nominal expiry date of this Agreement</w:t>
            </w:r>
            <w:r w:rsidR="00C1129A">
              <w:rPr>
                <w:rFonts w:ascii="Arial" w:eastAsiaTheme="minorEastAsia" w:hAnsi="Arial" w:cs="Arial"/>
                <w:b w:val="0"/>
                <w:sz w:val="18"/>
                <w:szCs w:val="18"/>
                <w:lang w:eastAsia="en-AU"/>
              </w:rPr>
              <w:t>.</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lang w:val="en-US"/>
              </w:rPr>
            </w:pPr>
            <w:hyperlink r:id="rId12" w:anchor="NineThreeEighteen" w:history="1">
              <w:r w:rsidR="0017224A" w:rsidRPr="00624D3B">
                <w:rPr>
                  <w:rStyle w:val="Hyperlink"/>
                  <w:rFonts w:ascii="Arial" w:hAnsi="Arial" w:cs="Arial"/>
                  <w:b w:val="0"/>
                  <w:sz w:val="18"/>
                  <w:szCs w:val="18"/>
                  <w:lang w:val="en-US"/>
                </w:rPr>
                <w:t xml:space="preserve">9.3.18 </w:t>
              </w:r>
              <w:r w:rsidR="00C1129A" w:rsidRPr="00624D3B">
                <w:rPr>
                  <w:rStyle w:val="Hyperlink"/>
                  <w:rFonts w:ascii="Arial" w:hAnsi="Arial" w:cs="Arial"/>
                  <w:b w:val="0"/>
                  <w:sz w:val="18"/>
                  <w:szCs w:val="18"/>
                  <w:lang w:val="en-US"/>
                </w:rPr>
                <w:t>–</w:t>
              </w:r>
              <w:r w:rsidR="0017224A" w:rsidRPr="00624D3B">
                <w:rPr>
                  <w:rStyle w:val="Hyperlink"/>
                  <w:rFonts w:ascii="Arial" w:hAnsi="Arial" w:cs="Arial"/>
                  <w:b w:val="0"/>
                  <w:sz w:val="18"/>
                  <w:szCs w:val="18"/>
                  <w:lang w:val="en-US"/>
                </w:rPr>
                <w:t xml:space="preserve"> No disadvantage for fixed-term staff in further employment as a result of pregnancy and childbirth</w:t>
              </w:r>
            </w:hyperlink>
          </w:p>
        </w:tc>
        <w:tc>
          <w:tcPr>
            <w:tcW w:w="1692" w:type="dxa"/>
          </w:tcPr>
          <w:p w:rsidR="0017224A" w:rsidRPr="009F4271" w:rsidRDefault="00A87722"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Pr="004348E8" w:rsidRDefault="0017224A" w:rsidP="00C1129A">
            <w:pPr>
              <w:pStyle w:val="agpsbold"/>
              <w:spacing w:before="60" w:after="60"/>
              <w:jc w:val="both"/>
              <w:rPr>
                <w:rFonts w:ascii="Arial" w:hAnsi="Arial" w:cs="Arial"/>
                <w:b w:val="0"/>
                <w:sz w:val="18"/>
                <w:szCs w:val="18"/>
                <w:lang w:val="en-US"/>
              </w:rPr>
            </w:pPr>
            <w:r w:rsidRPr="004348E8">
              <w:rPr>
                <w:rFonts w:ascii="Arial" w:hAnsi="Arial" w:cs="Arial"/>
                <w:b w:val="0"/>
                <w:sz w:val="18"/>
                <w:szCs w:val="18"/>
                <w:lang w:val="en-US"/>
              </w:rPr>
              <w:t>New provision makes it explicit that no such disadvantage should occur</w:t>
            </w:r>
            <w:r w:rsidR="00C1129A">
              <w:rPr>
                <w:rFonts w:ascii="Arial" w:hAnsi="Arial" w:cs="Arial"/>
                <w:b w:val="0"/>
                <w:sz w:val="18"/>
                <w:szCs w:val="18"/>
                <w:lang w:val="en-US"/>
              </w:rPr>
              <w:t>.</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lang w:val="en-US"/>
              </w:rPr>
            </w:pPr>
            <w:hyperlink r:id="rId13" w:anchor="NineThreeNineteen" w:history="1">
              <w:r w:rsidR="0017224A" w:rsidRPr="00624D3B">
                <w:rPr>
                  <w:rStyle w:val="Hyperlink"/>
                  <w:rFonts w:ascii="Arial" w:hAnsi="Arial" w:cs="Arial"/>
                  <w:b w:val="0"/>
                  <w:sz w:val="18"/>
                  <w:szCs w:val="18"/>
                  <w:lang w:val="en-US"/>
                </w:rPr>
                <w:t>9.3.19 – Short-term Secondment and Exchange Schemes</w:t>
              </w:r>
            </w:hyperlink>
          </w:p>
        </w:tc>
        <w:tc>
          <w:tcPr>
            <w:tcW w:w="1692" w:type="dxa"/>
          </w:tcPr>
          <w:p w:rsidR="0017224A" w:rsidRPr="009F4271" w:rsidRDefault="00A87722" w:rsidP="00C1129A">
            <w:pPr>
              <w:pStyle w:val="agpsbold"/>
              <w:spacing w:before="60" w:after="60"/>
              <w:jc w:val="center"/>
              <w:rPr>
                <w:rFonts w:ascii="Arial" w:eastAsiaTheme="minorEastAsia" w:hAnsi="Arial" w:cs="Arial"/>
                <w:sz w:val="18"/>
                <w:szCs w:val="18"/>
                <w:lang w:val="en-GB" w:eastAsia="en-AU"/>
              </w:rPr>
            </w:pPr>
            <w:r w:rsidRPr="009F4271">
              <w:rPr>
                <w:rFonts w:ascii="Arial" w:eastAsiaTheme="minorEastAsia" w:hAnsi="Arial" w:cs="Arial"/>
                <w:sz w:val="18"/>
                <w:szCs w:val="18"/>
                <w:lang w:val="en-GB" w:eastAsia="en-AU"/>
              </w:rPr>
              <w:t>N</w:t>
            </w:r>
          </w:p>
        </w:tc>
        <w:tc>
          <w:tcPr>
            <w:tcW w:w="9248" w:type="dxa"/>
          </w:tcPr>
          <w:p w:rsidR="0017224A" w:rsidRPr="004348E8" w:rsidRDefault="00A87722" w:rsidP="00876DC6">
            <w:pPr>
              <w:pStyle w:val="agpsbold"/>
              <w:spacing w:before="60" w:after="120"/>
              <w:ind w:right="139"/>
              <w:rPr>
                <w:rFonts w:ascii="Arial" w:hAnsi="Arial" w:cs="Arial"/>
                <w:b w:val="0"/>
                <w:sz w:val="18"/>
                <w:szCs w:val="18"/>
                <w:lang w:val="en-US"/>
              </w:rPr>
            </w:pPr>
            <w:r>
              <w:rPr>
                <w:rFonts w:ascii="Arial" w:eastAsiaTheme="minorEastAsia" w:hAnsi="Arial" w:cs="Arial"/>
                <w:b w:val="0"/>
                <w:sz w:val="18"/>
                <w:szCs w:val="18"/>
                <w:lang w:val="en-GB" w:eastAsia="en-AU"/>
              </w:rPr>
              <w:t>T</w:t>
            </w:r>
            <w:r w:rsidR="0017224A" w:rsidRPr="004348E8">
              <w:rPr>
                <w:rFonts w:ascii="Arial" w:eastAsiaTheme="minorEastAsia" w:hAnsi="Arial" w:cs="Arial"/>
                <w:b w:val="0"/>
                <w:sz w:val="18"/>
                <w:szCs w:val="18"/>
                <w:lang w:val="en-GB" w:eastAsia="en-AU"/>
              </w:rPr>
              <w:t>he University will promulgate relevant policy concerning schemes about both short-term secondment and exchange opportunities for staff</w:t>
            </w:r>
            <w:r w:rsidR="00C1129A">
              <w:rPr>
                <w:rFonts w:ascii="Arial" w:eastAsiaTheme="minorEastAsia" w:hAnsi="Arial" w:cs="Arial"/>
                <w:b w:val="0"/>
                <w:sz w:val="18"/>
                <w:szCs w:val="18"/>
                <w:lang w:val="en-GB" w:eastAsia="en-AU"/>
              </w:rPr>
              <w:t>.</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lang w:val="en-US"/>
              </w:rPr>
            </w:pPr>
            <w:hyperlink r:id="rId14" w:anchor="STF" w:history="1">
              <w:r w:rsidR="0017224A" w:rsidRPr="00624D3B">
                <w:rPr>
                  <w:rStyle w:val="Hyperlink"/>
                  <w:rFonts w:ascii="Arial" w:hAnsi="Arial" w:cs="Arial"/>
                  <w:b w:val="0"/>
                  <w:sz w:val="18"/>
                  <w:szCs w:val="18"/>
                  <w:lang w:val="en-US"/>
                </w:rPr>
                <w:t xml:space="preserve">9.5 – Scholarly </w:t>
              </w:r>
              <w:r w:rsidR="004062A1" w:rsidRPr="00624D3B">
                <w:rPr>
                  <w:rStyle w:val="Hyperlink"/>
                  <w:rFonts w:ascii="Arial" w:hAnsi="Arial" w:cs="Arial"/>
                  <w:b w:val="0"/>
                  <w:sz w:val="18"/>
                  <w:szCs w:val="18"/>
                  <w:lang w:val="en-US"/>
                </w:rPr>
                <w:t xml:space="preserve">Teaching </w:t>
              </w:r>
              <w:r w:rsidR="0017224A" w:rsidRPr="00624D3B">
                <w:rPr>
                  <w:rStyle w:val="Hyperlink"/>
                  <w:rFonts w:ascii="Arial" w:hAnsi="Arial" w:cs="Arial"/>
                  <w:b w:val="0"/>
                  <w:sz w:val="18"/>
                  <w:szCs w:val="18"/>
                  <w:lang w:val="en-US"/>
                </w:rPr>
                <w:t>Fellows</w:t>
              </w:r>
            </w:hyperlink>
          </w:p>
        </w:tc>
        <w:tc>
          <w:tcPr>
            <w:tcW w:w="1692" w:type="dxa"/>
          </w:tcPr>
          <w:p w:rsidR="0017224A" w:rsidRPr="009F4271" w:rsidRDefault="00C96384" w:rsidP="00C1129A">
            <w:pPr>
              <w:tabs>
                <w:tab w:val="left" w:pos="567"/>
              </w:tabs>
              <w:jc w:val="center"/>
              <w:rPr>
                <w:rFonts w:ascii="Arial" w:eastAsia="Calibri" w:hAnsi="Arial" w:cs="Arial"/>
                <w:b/>
                <w:sz w:val="18"/>
                <w:szCs w:val="18"/>
              </w:rPr>
            </w:pPr>
            <w:r w:rsidRPr="009F4271">
              <w:rPr>
                <w:rFonts w:ascii="Arial" w:eastAsia="Calibri" w:hAnsi="Arial" w:cs="Arial"/>
                <w:b/>
                <w:sz w:val="18"/>
                <w:szCs w:val="18"/>
              </w:rPr>
              <w:t>N</w:t>
            </w:r>
          </w:p>
        </w:tc>
        <w:tc>
          <w:tcPr>
            <w:tcW w:w="9248" w:type="dxa"/>
          </w:tcPr>
          <w:p w:rsidR="0017224A" w:rsidRPr="004348E8" w:rsidRDefault="0017224A" w:rsidP="00876DC6">
            <w:pPr>
              <w:tabs>
                <w:tab w:val="left" w:pos="567"/>
              </w:tabs>
              <w:spacing w:before="60" w:after="120" w:line="240" w:lineRule="auto"/>
              <w:ind w:right="139"/>
              <w:rPr>
                <w:rFonts w:ascii="Arial" w:eastAsia="Calibri" w:hAnsi="Arial" w:cs="Arial"/>
                <w:sz w:val="18"/>
                <w:szCs w:val="18"/>
              </w:rPr>
            </w:pPr>
            <w:r w:rsidRPr="004348E8">
              <w:rPr>
                <w:rFonts w:ascii="Arial" w:eastAsia="Calibri" w:hAnsi="Arial" w:cs="Arial"/>
                <w:sz w:val="18"/>
                <w:szCs w:val="18"/>
              </w:rPr>
              <w:t>Replaces for</w:t>
            </w:r>
            <w:r>
              <w:rPr>
                <w:rFonts w:ascii="Arial" w:eastAsia="Calibri" w:hAnsi="Arial" w:cs="Arial"/>
                <w:sz w:val="18"/>
                <w:szCs w:val="18"/>
              </w:rPr>
              <w:t>mer</w:t>
            </w:r>
            <w:r w:rsidRPr="004348E8">
              <w:rPr>
                <w:rFonts w:ascii="Arial" w:eastAsia="Calibri" w:hAnsi="Arial" w:cs="Arial"/>
                <w:sz w:val="18"/>
                <w:szCs w:val="18"/>
              </w:rPr>
              <w:t xml:space="preserve"> clause on Early Career Development Fellowships (ECDFs)</w:t>
            </w:r>
          </w:p>
          <w:p w:rsidR="0017224A" w:rsidRPr="004348E8" w:rsidRDefault="0017224A" w:rsidP="00876DC6">
            <w:pPr>
              <w:tabs>
                <w:tab w:val="left" w:pos="567"/>
              </w:tabs>
              <w:spacing w:after="120" w:line="240" w:lineRule="auto"/>
              <w:ind w:right="139"/>
              <w:rPr>
                <w:rFonts w:ascii="Arial" w:eastAsia="Calibri" w:hAnsi="Arial" w:cs="Arial"/>
                <w:sz w:val="18"/>
                <w:szCs w:val="18"/>
              </w:rPr>
            </w:pPr>
            <w:r w:rsidRPr="004348E8">
              <w:rPr>
                <w:rFonts w:ascii="Arial" w:eastAsia="Calibri" w:hAnsi="Arial" w:cs="Arial"/>
                <w:sz w:val="18"/>
                <w:szCs w:val="18"/>
              </w:rPr>
              <w:t>The University shall create, fill and maintain 24 Scholarly Teaching Fellow positions on a continuing basis to perform work currently performed by casual teaching staff. Eight positions will be created in each year of the Agreement’s life.</w:t>
            </w:r>
          </w:p>
          <w:p w:rsidR="0017224A" w:rsidRPr="004348E8" w:rsidRDefault="0017224A" w:rsidP="00876DC6">
            <w:pPr>
              <w:pStyle w:val="ListParagraph"/>
              <w:numPr>
                <w:ilvl w:val="0"/>
                <w:numId w:val="1"/>
              </w:numPr>
              <w:tabs>
                <w:tab w:val="left" w:pos="317"/>
              </w:tabs>
              <w:spacing w:after="120" w:line="240" w:lineRule="auto"/>
              <w:ind w:left="317" w:right="139" w:hanging="284"/>
              <w:contextualSpacing w:val="0"/>
              <w:rPr>
                <w:rFonts w:ascii="Arial" w:eastAsia="Calibri" w:hAnsi="Arial" w:cs="Arial"/>
                <w:sz w:val="18"/>
                <w:szCs w:val="18"/>
              </w:rPr>
            </w:pPr>
            <w:r w:rsidRPr="004348E8">
              <w:rPr>
                <w:rFonts w:ascii="Arial" w:eastAsia="Calibri" w:hAnsi="Arial" w:cs="Arial"/>
                <w:sz w:val="18"/>
                <w:szCs w:val="18"/>
              </w:rPr>
              <w:t>Salary Range A3 to B3</w:t>
            </w:r>
          </w:p>
          <w:p w:rsidR="0017224A" w:rsidRPr="004348E8" w:rsidRDefault="0017224A" w:rsidP="00876DC6">
            <w:pPr>
              <w:pStyle w:val="ListParagraph"/>
              <w:numPr>
                <w:ilvl w:val="0"/>
                <w:numId w:val="1"/>
              </w:numPr>
              <w:tabs>
                <w:tab w:val="left" w:pos="317"/>
              </w:tabs>
              <w:spacing w:after="120" w:line="240" w:lineRule="auto"/>
              <w:ind w:left="317" w:right="139" w:hanging="284"/>
              <w:contextualSpacing w:val="0"/>
              <w:rPr>
                <w:rFonts w:ascii="Arial" w:hAnsi="Arial" w:cs="Arial"/>
                <w:sz w:val="18"/>
                <w:szCs w:val="18"/>
              </w:rPr>
            </w:pPr>
            <w:r w:rsidRPr="004348E8">
              <w:rPr>
                <w:rFonts w:ascii="Arial" w:hAnsi="Arial" w:cs="Arial"/>
                <w:sz w:val="18"/>
                <w:szCs w:val="18"/>
              </w:rPr>
              <w:t>STF positions created and funded exclusively from bundling of existing casual positions</w:t>
            </w:r>
          </w:p>
          <w:p w:rsidR="0017224A" w:rsidRPr="004348E8" w:rsidRDefault="0017224A" w:rsidP="00876DC6">
            <w:pPr>
              <w:pStyle w:val="ListParagraph"/>
              <w:numPr>
                <w:ilvl w:val="0"/>
                <w:numId w:val="1"/>
              </w:numPr>
              <w:tabs>
                <w:tab w:val="left" w:pos="317"/>
              </w:tabs>
              <w:spacing w:after="120" w:line="240" w:lineRule="auto"/>
              <w:ind w:left="317" w:right="139" w:hanging="284"/>
              <w:contextualSpacing w:val="0"/>
              <w:rPr>
                <w:rFonts w:ascii="Arial" w:hAnsi="Arial" w:cs="Arial"/>
                <w:sz w:val="18"/>
                <w:szCs w:val="18"/>
              </w:rPr>
            </w:pPr>
            <w:r w:rsidRPr="004348E8">
              <w:rPr>
                <w:rFonts w:ascii="Arial" w:hAnsi="Arial" w:cs="Arial"/>
                <w:sz w:val="18"/>
                <w:szCs w:val="18"/>
              </w:rPr>
              <w:t>STF applicants must have at least one year’s academic appointment experience, excluding persons who have held continuing academic appointments</w:t>
            </w:r>
          </w:p>
          <w:p w:rsidR="0017224A" w:rsidRPr="004348E8" w:rsidRDefault="0017224A" w:rsidP="00876DC6">
            <w:pPr>
              <w:pStyle w:val="ListParagraph"/>
              <w:numPr>
                <w:ilvl w:val="0"/>
                <w:numId w:val="1"/>
              </w:numPr>
              <w:tabs>
                <w:tab w:val="left" w:pos="317"/>
              </w:tabs>
              <w:spacing w:after="120" w:line="240" w:lineRule="auto"/>
              <w:ind w:left="317" w:right="139" w:hanging="284"/>
              <w:contextualSpacing w:val="0"/>
              <w:rPr>
                <w:rFonts w:ascii="Arial" w:hAnsi="Arial" w:cs="Arial"/>
                <w:sz w:val="18"/>
                <w:szCs w:val="18"/>
              </w:rPr>
            </w:pPr>
            <w:r w:rsidRPr="004348E8">
              <w:rPr>
                <w:rFonts w:ascii="Arial" w:hAnsi="Arial" w:cs="Arial"/>
                <w:sz w:val="18"/>
                <w:szCs w:val="18"/>
              </w:rPr>
              <w:t>STFs may have teaching-focussed workloads that do not exceed 75% of their allocated duties.</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lang w:val="en-US"/>
              </w:rPr>
            </w:pPr>
            <w:hyperlink r:id="rId15" w:anchor="NineSix" w:history="1">
              <w:r w:rsidR="0017224A" w:rsidRPr="00624D3B">
                <w:rPr>
                  <w:rStyle w:val="Hyperlink"/>
                  <w:rFonts w:ascii="Arial" w:hAnsi="Arial" w:cs="Arial"/>
                  <w:b w:val="0"/>
                  <w:sz w:val="18"/>
                  <w:szCs w:val="18"/>
                  <w:lang w:val="en-US"/>
                </w:rPr>
                <w:t>9.6 – Senior Staff Performance Based Contracts</w:t>
              </w:r>
            </w:hyperlink>
          </w:p>
        </w:tc>
        <w:tc>
          <w:tcPr>
            <w:tcW w:w="1692" w:type="dxa"/>
          </w:tcPr>
          <w:p w:rsidR="0017224A" w:rsidRPr="009F4271" w:rsidRDefault="00C96384"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Pr="004348E8" w:rsidRDefault="0017224A" w:rsidP="005B4300">
            <w:pPr>
              <w:pStyle w:val="agpsbold"/>
              <w:spacing w:before="60" w:after="120"/>
              <w:ind w:right="139"/>
              <w:jc w:val="both"/>
              <w:rPr>
                <w:rFonts w:ascii="Arial" w:hAnsi="Arial" w:cs="Arial"/>
                <w:b w:val="0"/>
                <w:sz w:val="18"/>
                <w:szCs w:val="18"/>
                <w:lang w:val="en-US"/>
              </w:rPr>
            </w:pPr>
            <w:r w:rsidRPr="004348E8">
              <w:rPr>
                <w:rFonts w:ascii="Arial" w:hAnsi="Arial" w:cs="Arial"/>
                <w:b w:val="0"/>
                <w:sz w:val="18"/>
                <w:szCs w:val="18"/>
                <w:lang w:val="en-US"/>
              </w:rPr>
              <w:t>Staff described in clause 9.6.1 may enter into performance based contracts which will override or vary some or all of the Agreement provisions stated in clause 9.6.3</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rPr>
            </w:pPr>
            <w:hyperlink r:id="rId16" w:anchor="NineSeven" w:history="1">
              <w:r w:rsidR="0017224A" w:rsidRPr="00624D3B">
                <w:rPr>
                  <w:rStyle w:val="Hyperlink"/>
                  <w:rFonts w:ascii="Arial" w:hAnsi="Arial" w:cs="Arial"/>
                  <w:b w:val="0"/>
                  <w:sz w:val="18"/>
                  <w:szCs w:val="18"/>
                </w:rPr>
                <w:t>9.7</w:t>
              </w:r>
              <w:r w:rsidR="004062A1" w:rsidRPr="00624D3B">
                <w:rPr>
                  <w:rStyle w:val="Hyperlink"/>
                  <w:rFonts w:ascii="Arial" w:hAnsi="Arial" w:cs="Arial"/>
                  <w:b w:val="0"/>
                  <w:sz w:val="18"/>
                  <w:szCs w:val="18"/>
                </w:rPr>
                <w:t xml:space="preserve"> </w:t>
              </w:r>
              <w:r w:rsidR="004062A1" w:rsidRPr="00624D3B">
                <w:rPr>
                  <w:rStyle w:val="Hyperlink"/>
                  <w:rFonts w:ascii="Arial" w:hAnsi="Arial" w:cs="Arial"/>
                  <w:b w:val="0"/>
                  <w:sz w:val="18"/>
                  <w:szCs w:val="18"/>
                  <w:lang w:val="en-US"/>
                </w:rPr>
                <w:t>–</w:t>
              </w:r>
              <w:r w:rsidR="0017224A" w:rsidRPr="00624D3B">
                <w:rPr>
                  <w:rStyle w:val="Hyperlink"/>
                  <w:rFonts w:ascii="Arial" w:hAnsi="Arial" w:cs="Arial"/>
                  <w:b w:val="0"/>
                  <w:sz w:val="18"/>
                  <w:szCs w:val="18"/>
                </w:rPr>
                <w:t xml:space="preserve"> General Staff Vacancies</w:t>
              </w:r>
            </w:hyperlink>
          </w:p>
        </w:tc>
        <w:tc>
          <w:tcPr>
            <w:tcW w:w="1692" w:type="dxa"/>
          </w:tcPr>
          <w:p w:rsidR="0017224A" w:rsidRPr="009F4271" w:rsidRDefault="00C96384"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Pr="004348E8" w:rsidRDefault="0017224A" w:rsidP="005B4300">
            <w:pPr>
              <w:pStyle w:val="agpsbold"/>
              <w:spacing w:before="60" w:after="120"/>
              <w:ind w:right="139"/>
              <w:jc w:val="both"/>
              <w:rPr>
                <w:rFonts w:ascii="Arial" w:hAnsi="Arial" w:cs="Arial"/>
                <w:b w:val="0"/>
                <w:sz w:val="18"/>
                <w:szCs w:val="18"/>
                <w:lang w:val="en-US"/>
              </w:rPr>
            </w:pPr>
            <w:r w:rsidRPr="004348E8">
              <w:rPr>
                <w:rFonts w:ascii="Arial" w:hAnsi="Arial" w:cs="Arial"/>
                <w:b w:val="0"/>
                <w:sz w:val="18"/>
                <w:szCs w:val="18"/>
                <w:lang w:val="en-US"/>
              </w:rPr>
              <w:t xml:space="preserve">Non-casual General Staff Vacancies at HEW levels 2 through to 8 of greater than 12 months duration will be advertised internally in the first instance </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rPr>
            </w:pPr>
            <w:hyperlink r:id="rId17" w:anchor="Probation" w:history="1">
              <w:r w:rsidR="0017224A" w:rsidRPr="00624D3B">
                <w:rPr>
                  <w:rStyle w:val="Hyperlink"/>
                  <w:rFonts w:ascii="Arial" w:hAnsi="Arial" w:cs="Arial"/>
                  <w:b w:val="0"/>
                  <w:sz w:val="18"/>
                  <w:szCs w:val="18"/>
                </w:rPr>
                <w:t xml:space="preserve">10 </w:t>
              </w:r>
              <w:r w:rsidR="00C1129A" w:rsidRPr="00624D3B">
                <w:rPr>
                  <w:rStyle w:val="Hyperlink"/>
                  <w:rFonts w:ascii="Arial" w:hAnsi="Arial" w:cs="Arial"/>
                  <w:b w:val="0"/>
                  <w:sz w:val="18"/>
                  <w:szCs w:val="18"/>
                  <w:lang w:val="en-US"/>
                </w:rPr>
                <w:t>–</w:t>
              </w:r>
              <w:r w:rsidR="0017224A" w:rsidRPr="00624D3B">
                <w:rPr>
                  <w:rStyle w:val="Hyperlink"/>
                  <w:rFonts w:ascii="Arial" w:hAnsi="Arial" w:cs="Arial"/>
                  <w:b w:val="0"/>
                  <w:sz w:val="18"/>
                  <w:szCs w:val="18"/>
                </w:rPr>
                <w:t xml:space="preserve"> Probation</w:t>
              </w:r>
            </w:hyperlink>
          </w:p>
        </w:tc>
        <w:tc>
          <w:tcPr>
            <w:tcW w:w="1692" w:type="dxa"/>
          </w:tcPr>
          <w:p w:rsidR="0017224A" w:rsidRPr="009F4271" w:rsidRDefault="00C96384"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Pr="004348E8" w:rsidRDefault="0017224A" w:rsidP="00876DC6">
            <w:pPr>
              <w:pStyle w:val="agpsbold"/>
              <w:spacing w:before="60" w:after="60"/>
              <w:ind w:right="139"/>
              <w:rPr>
                <w:rFonts w:ascii="Arial" w:hAnsi="Arial" w:cs="Arial"/>
                <w:b w:val="0"/>
                <w:sz w:val="18"/>
                <w:szCs w:val="18"/>
                <w:lang w:val="en-US"/>
              </w:rPr>
            </w:pPr>
            <w:r w:rsidRPr="004348E8">
              <w:rPr>
                <w:rFonts w:ascii="Arial" w:hAnsi="Arial" w:cs="Arial"/>
                <w:b w:val="0"/>
                <w:sz w:val="18"/>
                <w:szCs w:val="18"/>
                <w:lang w:val="en-US"/>
              </w:rPr>
              <w:t>Maintains existing Probation provisions.</w:t>
            </w:r>
          </w:p>
          <w:p w:rsidR="0017224A" w:rsidRPr="004348E8" w:rsidRDefault="0017224A" w:rsidP="00876DC6">
            <w:pPr>
              <w:pStyle w:val="agpsbold"/>
              <w:spacing w:before="60" w:after="120"/>
              <w:ind w:right="139"/>
              <w:rPr>
                <w:rFonts w:ascii="Arial" w:hAnsi="Arial" w:cs="Arial"/>
                <w:b w:val="0"/>
                <w:sz w:val="18"/>
                <w:szCs w:val="18"/>
                <w:lang w:val="en-US"/>
              </w:rPr>
            </w:pPr>
            <w:r w:rsidRPr="004348E8">
              <w:rPr>
                <w:rFonts w:ascii="Arial" w:hAnsi="Arial" w:cs="Arial"/>
                <w:b w:val="0"/>
                <w:sz w:val="18"/>
                <w:szCs w:val="18"/>
                <w:lang w:val="en-US"/>
              </w:rPr>
              <w:t>Introduces ability to extend probation in situations where staff member has been on approved leave for more than four weeks or where it is determined that an extension may allow a staff member to demonstrate satisfactory performance and/or conduct.</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rPr>
            </w:pPr>
            <w:hyperlink r:id="rId18" w:anchor="Indig" w:history="1">
              <w:r w:rsidR="0017224A" w:rsidRPr="00624D3B">
                <w:rPr>
                  <w:rStyle w:val="Hyperlink"/>
                  <w:rFonts w:ascii="Arial" w:hAnsi="Arial" w:cs="Arial"/>
                  <w:b w:val="0"/>
                  <w:sz w:val="18"/>
                  <w:szCs w:val="18"/>
                </w:rPr>
                <w:t>11 – Indigenous Employment and Reconciliation</w:t>
              </w:r>
            </w:hyperlink>
          </w:p>
        </w:tc>
        <w:tc>
          <w:tcPr>
            <w:tcW w:w="1692" w:type="dxa"/>
          </w:tcPr>
          <w:p w:rsidR="0017224A" w:rsidRPr="009F4271" w:rsidRDefault="00C96384" w:rsidP="00C1129A">
            <w:pPr>
              <w:pStyle w:val="agpsbold"/>
              <w:spacing w:before="60" w:after="60"/>
              <w:jc w:val="center"/>
              <w:rPr>
                <w:rFonts w:ascii="Arial" w:hAnsi="Arial" w:cs="Arial"/>
                <w:sz w:val="18"/>
                <w:szCs w:val="18"/>
              </w:rPr>
            </w:pPr>
            <w:r w:rsidRPr="009F4271">
              <w:rPr>
                <w:rFonts w:ascii="Arial" w:hAnsi="Arial" w:cs="Arial"/>
                <w:sz w:val="18"/>
                <w:szCs w:val="18"/>
              </w:rPr>
              <w:t>A</w:t>
            </w:r>
          </w:p>
        </w:tc>
        <w:tc>
          <w:tcPr>
            <w:tcW w:w="9248" w:type="dxa"/>
          </w:tcPr>
          <w:p w:rsidR="0017224A" w:rsidRPr="00CB2C07" w:rsidRDefault="0017224A" w:rsidP="00876DC6">
            <w:pPr>
              <w:pStyle w:val="agpsbold"/>
              <w:numPr>
                <w:ilvl w:val="0"/>
                <w:numId w:val="13"/>
              </w:numPr>
              <w:tabs>
                <w:tab w:val="clear" w:pos="720"/>
              </w:tabs>
              <w:spacing w:before="60" w:after="120"/>
              <w:ind w:left="317" w:right="139" w:hanging="284"/>
              <w:rPr>
                <w:rFonts w:ascii="Arial" w:hAnsi="Arial" w:cs="Arial"/>
                <w:b w:val="0"/>
                <w:sz w:val="18"/>
                <w:szCs w:val="18"/>
              </w:rPr>
            </w:pPr>
            <w:r w:rsidRPr="00CB2C07">
              <w:rPr>
                <w:rFonts w:ascii="Arial" w:hAnsi="Arial" w:cs="Arial"/>
                <w:b w:val="0"/>
                <w:sz w:val="18"/>
                <w:szCs w:val="18"/>
              </w:rPr>
              <w:t>Commitment to employment of 16 full-time equivalent continuing and/or fixed-term Aboriginal and Torres Strait Islander (ATSI) staff by nominal expiry of Agreement</w:t>
            </w:r>
            <w:r w:rsidR="00876DC6">
              <w:rPr>
                <w:rFonts w:ascii="Arial" w:hAnsi="Arial" w:cs="Arial"/>
                <w:b w:val="0"/>
                <w:sz w:val="18"/>
                <w:szCs w:val="18"/>
              </w:rPr>
              <w:t>.</w:t>
            </w:r>
          </w:p>
          <w:p w:rsidR="0017224A" w:rsidRPr="00CB2C07" w:rsidRDefault="0017224A" w:rsidP="00876DC6">
            <w:pPr>
              <w:pStyle w:val="agpsbold"/>
              <w:numPr>
                <w:ilvl w:val="0"/>
                <w:numId w:val="13"/>
              </w:numPr>
              <w:tabs>
                <w:tab w:val="clear" w:pos="720"/>
              </w:tabs>
              <w:spacing w:before="60" w:after="120"/>
              <w:ind w:left="317" w:right="139" w:hanging="284"/>
              <w:rPr>
                <w:rFonts w:ascii="Arial" w:hAnsi="Arial" w:cs="Arial"/>
                <w:b w:val="0"/>
                <w:sz w:val="18"/>
                <w:szCs w:val="18"/>
              </w:rPr>
            </w:pPr>
            <w:r w:rsidRPr="00CB2C07">
              <w:rPr>
                <w:rFonts w:ascii="Arial" w:hAnsi="Arial" w:cs="Arial"/>
                <w:b w:val="0"/>
                <w:sz w:val="18"/>
                <w:szCs w:val="18"/>
              </w:rPr>
              <w:t>University will endeavour to have four ATSI staff engaged on traineeships at any time during life of Agreement</w:t>
            </w:r>
            <w:r w:rsidR="00876DC6">
              <w:rPr>
                <w:rFonts w:ascii="Arial" w:hAnsi="Arial" w:cs="Arial"/>
                <w:b w:val="0"/>
                <w:sz w:val="18"/>
                <w:szCs w:val="18"/>
              </w:rPr>
              <w:t>.</w:t>
            </w:r>
          </w:p>
          <w:p w:rsidR="0017224A" w:rsidRPr="004348E8" w:rsidRDefault="0017224A" w:rsidP="00876DC6">
            <w:pPr>
              <w:pStyle w:val="agpsbold"/>
              <w:numPr>
                <w:ilvl w:val="0"/>
                <w:numId w:val="13"/>
              </w:numPr>
              <w:tabs>
                <w:tab w:val="clear" w:pos="720"/>
              </w:tabs>
              <w:spacing w:before="60" w:after="120"/>
              <w:ind w:left="317" w:right="139" w:hanging="284"/>
              <w:rPr>
                <w:rFonts w:ascii="Arial" w:hAnsi="Arial" w:cs="Arial"/>
                <w:b w:val="0"/>
                <w:sz w:val="18"/>
                <w:szCs w:val="18"/>
                <w:lang w:val="en-US"/>
              </w:rPr>
            </w:pPr>
            <w:r w:rsidRPr="00CB2C07">
              <w:rPr>
                <w:rFonts w:ascii="Arial" w:hAnsi="Arial" w:cs="Arial"/>
                <w:b w:val="0"/>
                <w:sz w:val="18"/>
                <w:szCs w:val="18"/>
              </w:rPr>
              <w:t>Amendment of Recruitment and Merit Policy by 30/09/15 concerning successful completion of traineeships by ATSI staff so that they are given preference to fill suitable vacant positions</w:t>
            </w:r>
            <w:r w:rsidR="00876DC6">
              <w:rPr>
                <w:rFonts w:ascii="Arial" w:hAnsi="Arial" w:cs="Arial"/>
                <w:b w:val="0"/>
                <w:sz w:val="18"/>
                <w:szCs w:val="18"/>
              </w:rPr>
              <w:t>.</w:t>
            </w:r>
          </w:p>
        </w:tc>
      </w:tr>
    </w:tbl>
    <w:p w:rsidR="005B4300" w:rsidRDefault="005B4300" w:rsidP="00C1129A">
      <w:pPr>
        <w:pStyle w:val="agpsbold"/>
        <w:spacing w:before="60" w:after="60"/>
        <w:ind w:left="252"/>
        <w:rPr>
          <w:rFonts w:ascii="Arial" w:hAnsi="Arial" w:cs="Arial"/>
          <w:b w:val="0"/>
          <w:sz w:val="18"/>
          <w:szCs w:val="18"/>
        </w:rPr>
        <w:sectPr w:rsidR="005B4300" w:rsidSect="00C1129A">
          <w:headerReference w:type="default" r:id="rId19"/>
          <w:footerReference w:type="default" r:id="rId20"/>
          <w:pgSz w:w="16838" w:h="11906" w:orient="landscape"/>
          <w:pgMar w:top="1134" w:right="851" w:bottom="851" w:left="1134" w:header="425" w:footer="170"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692"/>
        <w:gridCol w:w="9248"/>
      </w:tblGrid>
      <w:tr w:rsidR="00542271" w:rsidRPr="004348E8" w:rsidTr="00AE7236">
        <w:trPr>
          <w:tblHeader/>
        </w:trPr>
        <w:tc>
          <w:tcPr>
            <w:tcW w:w="3908" w:type="dxa"/>
            <w:vAlign w:val="center"/>
          </w:tcPr>
          <w:p w:rsidR="00542271" w:rsidRPr="009F4271" w:rsidRDefault="00542271" w:rsidP="00AE7236">
            <w:pPr>
              <w:pStyle w:val="agpsbold"/>
              <w:spacing w:before="60" w:after="60"/>
              <w:ind w:left="34"/>
              <w:rPr>
                <w:rFonts w:ascii="Arial" w:hAnsi="Arial" w:cs="Arial"/>
                <w:sz w:val="18"/>
                <w:szCs w:val="18"/>
                <w:lang w:val="en-US"/>
              </w:rPr>
            </w:pPr>
            <w:r w:rsidRPr="009F4271">
              <w:rPr>
                <w:rFonts w:ascii="Arial" w:hAnsi="Arial" w:cs="Arial"/>
                <w:sz w:val="18"/>
                <w:szCs w:val="18"/>
                <w:lang w:val="en-US"/>
              </w:rPr>
              <w:lastRenderedPageBreak/>
              <w:t>Clause</w:t>
            </w:r>
          </w:p>
        </w:tc>
        <w:tc>
          <w:tcPr>
            <w:tcW w:w="1692" w:type="dxa"/>
            <w:vAlign w:val="center"/>
          </w:tcPr>
          <w:p w:rsidR="00542271" w:rsidRPr="009F4271" w:rsidRDefault="00542271" w:rsidP="00AE7236">
            <w:pPr>
              <w:pStyle w:val="agpsbold"/>
              <w:spacing w:before="60" w:after="60"/>
              <w:rPr>
                <w:rFonts w:ascii="Arial" w:hAnsi="Arial" w:cs="Arial"/>
                <w:sz w:val="18"/>
                <w:szCs w:val="18"/>
                <w:lang w:val="en-US"/>
              </w:rPr>
            </w:pPr>
            <w:r w:rsidRPr="009F4271">
              <w:rPr>
                <w:rFonts w:ascii="Arial" w:hAnsi="Arial" w:cs="Arial"/>
                <w:sz w:val="18"/>
                <w:szCs w:val="18"/>
                <w:lang w:val="en-US"/>
              </w:rPr>
              <w:t xml:space="preserve">N </w:t>
            </w:r>
            <w:r w:rsidRPr="009F4271">
              <w:rPr>
                <w:rFonts w:ascii="Arial" w:hAnsi="Arial" w:cs="Arial"/>
                <w:b w:val="0"/>
                <w:sz w:val="18"/>
                <w:szCs w:val="18"/>
                <w:lang w:val="en-US"/>
              </w:rPr>
              <w:t>= new</w:t>
            </w:r>
          </w:p>
          <w:p w:rsidR="00542271" w:rsidRPr="009F4271" w:rsidRDefault="00542271" w:rsidP="00AE7236">
            <w:pPr>
              <w:pStyle w:val="agpsbold"/>
              <w:spacing w:before="60" w:after="60"/>
              <w:rPr>
                <w:rFonts w:ascii="Arial" w:hAnsi="Arial" w:cs="Arial"/>
                <w:sz w:val="18"/>
                <w:szCs w:val="18"/>
                <w:lang w:val="en-US"/>
              </w:rPr>
            </w:pPr>
            <w:r w:rsidRPr="009F4271">
              <w:rPr>
                <w:rFonts w:ascii="Arial" w:hAnsi="Arial" w:cs="Arial"/>
                <w:sz w:val="18"/>
                <w:szCs w:val="18"/>
                <w:lang w:val="en-US"/>
              </w:rPr>
              <w:t xml:space="preserve">A </w:t>
            </w:r>
            <w:r w:rsidRPr="009F4271">
              <w:rPr>
                <w:rFonts w:ascii="Arial" w:hAnsi="Arial" w:cs="Arial"/>
                <w:b w:val="0"/>
                <w:sz w:val="18"/>
                <w:szCs w:val="18"/>
                <w:lang w:val="en-US"/>
              </w:rPr>
              <w:t>= amendment</w:t>
            </w:r>
            <w:r>
              <w:rPr>
                <w:rFonts w:ascii="Arial" w:hAnsi="Arial" w:cs="Arial"/>
                <w:b w:val="0"/>
                <w:sz w:val="18"/>
                <w:szCs w:val="18"/>
                <w:lang w:val="en-US"/>
              </w:rPr>
              <w:t xml:space="preserve"> or addition</w:t>
            </w:r>
          </w:p>
        </w:tc>
        <w:tc>
          <w:tcPr>
            <w:tcW w:w="9248" w:type="dxa"/>
            <w:vAlign w:val="center"/>
          </w:tcPr>
          <w:p w:rsidR="00542271" w:rsidRPr="00D5746F" w:rsidRDefault="00542271" w:rsidP="00AE7236">
            <w:pPr>
              <w:pStyle w:val="agpsbold"/>
              <w:spacing w:before="60" w:after="60"/>
              <w:ind w:right="175"/>
              <w:rPr>
                <w:rFonts w:ascii="Arial" w:hAnsi="Arial" w:cs="Arial"/>
                <w:sz w:val="18"/>
                <w:szCs w:val="18"/>
                <w:lang w:val="en-US"/>
              </w:rPr>
            </w:pPr>
            <w:r w:rsidRPr="00D5746F">
              <w:rPr>
                <w:rFonts w:ascii="Arial" w:hAnsi="Arial" w:cs="Arial"/>
                <w:sz w:val="18"/>
                <w:szCs w:val="18"/>
                <w:lang w:val="en-US"/>
              </w:rPr>
              <w:t>Change or Addition</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rPr>
            </w:pPr>
            <w:hyperlink r:id="rId21" w:anchor="Salary" w:history="1">
              <w:r w:rsidR="0017224A" w:rsidRPr="00624D3B">
                <w:rPr>
                  <w:rStyle w:val="Hyperlink"/>
                  <w:rFonts w:ascii="Arial" w:hAnsi="Arial" w:cs="Arial"/>
                  <w:b w:val="0"/>
                  <w:sz w:val="18"/>
                  <w:szCs w:val="18"/>
                </w:rPr>
                <w:t>12 – Salary Increases</w:t>
              </w:r>
            </w:hyperlink>
          </w:p>
        </w:tc>
        <w:tc>
          <w:tcPr>
            <w:tcW w:w="1692" w:type="dxa"/>
          </w:tcPr>
          <w:p w:rsidR="0017224A" w:rsidRPr="009F4271" w:rsidRDefault="00C96384"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 xml:space="preserve">Provides for the following increases set out at Schedule </w:t>
            </w:r>
            <w:r w:rsidRPr="009E6CEB">
              <w:rPr>
                <w:rFonts w:ascii="Arial" w:hAnsi="Arial" w:cs="Arial"/>
                <w:b w:val="0"/>
                <w:sz w:val="18"/>
                <w:szCs w:val="18"/>
                <w:lang w:val="en-US"/>
              </w:rPr>
              <w:t>1</w:t>
            </w:r>
            <w:r>
              <w:rPr>
                <w:rFonts w:ascii="Arial" w:hAnsi="Arial" w:cs="Arial"/>
                <w:b w:val="0"/>
                <w:sz w:val="18"/>
                <w:szCs w:val="18"/>
                <w:lang w:val="en-US"/>
              </w:rPr>
              <w:t xml:space="preserve"> </w:t>
            </w:r>
            <w:r w:rsidRPr="009E6CEB">
              <w:rPr>
                <w:rFonts w:ascii="Arial" w:hAnsi="Arial" w:cs="Arial"/>
                <w:b w:val="0"/>
                <w:sz w:val="18"/>
                <w:szCs w:val="18"/>
                <w:lang w:val="en-US"/>
              </w:rPr>
              <w:t>Academic Annual Salary Rates</w:t>
            </w:r>
            <w:r>
              <w:rPr>
                <w:rFonts w:ascii="Arial" w:hAnsi="Arial" w:cs="Arial"/>
                <w:b w:val="0"/>
                <w:sz w:val="18"/>
                <w:szCs w:val="18"/>
                <w:lang w:val="en-US"/>
              </w:rPr>
              <w:t xml:space="preserve">; Schedule 2 </w:t>
            </w:r>
            <w:r w:rsidRPr="009E6CEB">
              <w:rPr>
                <w:rFonts w:ascii="Arial" w:hAnsi="Arial" w:cs="Arial"/>
                <w:b w:val="0"/>
                <w:sz w:val="18"/>
                <w:szCs w:val="18"/>
                <w:lang w:val="en-US"/>
              </w:rPr>
              <w:t>Academic Sessional Rates</w:t>
            </w:r>
            <w:r>
              <w:rPr>
                <w:rFonts w:ascii="Arial" w:hAnsi="Arial" w:cs="Arial"/>
                <w:b w:val="0"/>
                <w:sz w:val="18"/>
                <w:szCs w:val="18"/>
                <w:lang w:val="en-US"/>
              </w:rPr>
              <w:t xml:space="preserve">; and Schedule </w:t>
            </w:r>
            <w:r w:rsidRPr="009E6CEB">
              <w:rPr>
                <w:rFonts w:ascii="Arial" w:hAnsi="Arial" w:cs="Arial"/>
                <w:b w:val="0"/>
                <w:sz w:val="18"/>
                <w:szCs w:val="18"/>
                <w:lang w:val="en-US"/>
              </w:rPr>
              <w:t>3</w:t>
            </w:r>
            <w:r>
              <w:rPr>
                <w:rFonts w:ascii="Arial" w:hAnsi="Arial" w:cs="Arial"/>
                <w:b w:val="0"/>
                <w:sz w:val="18"/>
                <w:szCs w:val="18"/>
                <w:lang w:val="en-US"/>
              </w:rPr>
              <w:t xml:space="preserve"> </w:t>
            </w:r>
            <w:r w:rsidRPr="009E6CEB">
              <w:rPr>
                <w:rFonts w:ascii="Arial" w:hAnsi="Arial" w:cs="Arial"/>
                <w:b w:val="0"/>
                <w:sz w:val="18"/>
                <w:szCs w:val="18"/>
                <w:lang w:val="en-US"/>
              </w:rPr>
              <w:t>General Staff Annual Salary Rates</w:t>
            </w:r>
            <w:r>
              <w:rPr>
                <w:rFonts w:ascii="Arial" w:hAnsi="Arial" w:cs="Arial"/>
                <w:b w:val="0"/>
                <w:sz w:val="18"/>
                <w:szCs w:val="18"/>
                <w:lang w:val="en-US"/>
              </w:rPr>
              <w:t>:</w:t>
            </w:r>
          </w:p>
          <w:p w:rsidR="0017224A" w:rsidRPr="009E6CEB" w:rsidRDefault="0017224A" w:rsidP="00876DC6">
            <w:pPr>
              <w:pStyle w:val="agpsbold"/>
              <w:numPr>
                <w:ilvl w:val="0"/>
                <w:numId w:val="3"/>
              </w:numPr>
              <w:spacing w:before="60" w:after="120"/>
              <w:ind w:left="317" w:right="139" w:hanging="284"/>
              <w:rPr>
                <w:rFonts w:ascii="Arial" w:hAnsi="Arial" w:cs="Arial"/>
                <w:b w:val="0"/>
                <w:sz w:val="18"/>
                <w:szCs w:val="18"/>
                <w:lang w:val="en-US"/>
              </w:rPr>
            </w:pPr>
            <w:r w:rsidRPr="009E6CEB">
              <w:rPr>
                <w:rFonts w:ascii="Arial" w:hAnsi="Arial" w:cs="Arial"/>
                <w:b w:val="0"/>
                <w:sz w:val="18"/>
                <w:szCs w:val="18"/>
                <w:lang w:val="en-US"/>
              </w:rPr>
              <w:t xml:space="preserve">2% from 28 June 2015 (Gippsland Transferred Employees only); </w:t>
            </w:r>
          </w:p>
          <w:p w:rsidR="0017224A" w:rsidRDefault="0017224A" w:rsidP="00876DC6">
            <w:pPr>
              <w:pStyle w:val="agpsbold"/>
              <w:numPr>
                <w:ilvl w:val="0"/>
                <w:numId w:val="3"/>
              </w:numPr>
              <w:spacing w:before="60" w:after="120"/>
              <w:ind w:left="317" w:right="139" w:hanging="284"/>
              <w:rPr>
                <w:rFonts w:ascii="Arial" w:hAnsi="Arial" w:cs="Arial"/>
                <w:b w:val="0"/>
                <w:sz w:val="18"/>
                <w:szCs w:val="18"/>
                <w:lang w:val="en-US"/>
              </w:rPr>
            </w:pPr>
            <w:r w:rsidRPr="009E6CEB">
              <w:rPr>
                <w:rFonts w:ascii="Arial" w:hAnsi="Arial" w:cs="Arial"/>
                <w:b w:val="0"/>
                <w:sz w:val="18"/>
                <w:szCs w:val="18"/>
                <w:lang w:val="en-US"/>
              </w:rPr>
              <w:t>3% from 28 June 2015 (Staff other than Transferred Gippsland Campus Staff);</w:t>
            </w:r>
          </w:p>
          <w:p w:rsidR="0017224A" w:rsidRPr="009E6CEB" w:rsidRDefault="0017224A" w:rsidP="00876DC6">
            <w:pPr>
              <w:pStyle w:val="ListParagraph"/>
              <w:numPr>
                <w:ilvl w:val="0"/>
                <w:numId w:val="3"/>
              </w:numPr>
              <w:spacing w:after="60" w:line="240" w:lineRule="auto"/>
              <w:ind w:left="317" w:right="139" w:hanging="284"/>
              <w:contextualSpacing w:val="0"/>
              <w:rPr>
                <w:rFonts w:ascii="Arial" w:hAnsi="Arial" w:cs="Arial"/>
                <w:b/>
                <w:sz w:val="18"/>
                <w:szCs w:val="18"/>
              </w:rPr>
            </w:pPr>
            <w:r w:rsidRPr="009E6CEB">
              <w:rPr>
                <w:rFonts w:ascii="Arial" w:hAnsi="Arial" w:cs="Arial"/>
                <w:sz w:val="18"/>
                <w:szCs w:val="18"/>
              </w:rPr>
              <w:t xml:space="preserve">3% </w:t>
            </w:r>
            <w:r w:rsidRPr="009E6CEB">
              <w:rPr>
                <w:rFonts w:ascii="Arial" w:eastAsiaTheme="minorEastAsia" w:hAnsi="Arial" w:cs="Arial"/>
                <w:sz w:val="18"/>
                <w:szCs w:val="18"/>
                <w:lang w:eastAsia="en-AU"/>
              </w:rPr>
              <w:t>from 10 July 2016 (Gippsland Transferred Employees only);</w:t>
            </w:r>
            <w:r w:rsidRPr="009E6CEB">
              <w:rPr>
                <w:rFonts w:ascii="Arial" w:eastAsiaTheme="minorEastAsia" w:hAnsi="Arial" w:cs="Arial"/>
                <w:b/>
                <w:sz w:val="18"/>
                <w:szCs w:val="18"/>
                <w:lang w:eastAsia="en-AU"/>
              </w:rPr>
              <w:t xml:space="preserve"> </w:t>
            </w:r>
          </w:p>
          <w:p w:rsidR="0017224A" w:rsidRPr="009E6CEB" w:rsidRDefault="0017224A" w:rsidP="00876DC6">
            <w:pPr>
              <w:pStyle w:val="ListParagraph"/>
              <w:numPr>
                <w:ilvl w:val="0"/>
                <w:numId w:val="3"/>
              </w:numPr>
              <w:spacing w:after="120" w:line="240" w:lineRule="auto"/>
              <w:ind w:left="317" w:right="139" w:hanging="284"/>
              <w:contextualSpacing w:val="0"/>
              <w:rPr>
                <w:rFonts w:ascii="Arial" w:eastAsiaTheme="minorEastAsia" w:hAnsi="Arial" w:cs="Arial"/>
                <w:b/>
                <w:sz w:val="18"/>
                <w:szCs w:val="18"/>
                <w:lang w:eastAsia="en-AU"/>
              </w:rPr>
            </w:pPr>
            <w:r w:rsidRPr="009E6CEB">
              <w:rPr>
                <w:rFonts w:ascii="Arial" w:hAnsi="Arial" w:cs="Arial"/>
                <w:sz w:val="18"/>
                <w:szCs w:val="18"/>
              </w:rPr>
              <w:t xml:space="preserve">On 10 July 2016 all Academic and General </w:t>
            </w:r>
            <w:r w:rsidRPr="009E6CEB">
              <w:rPr>
                <w:rFonts w:ascii="Arial" w:eastAsiaTheme="minorEastAsia" w:hAnsi="Arial" w:cs="Arial"/>
                <w:sz w:val="18"/>
                <w:szCs w:val="18"/>
                <w:lang w:eastAsia="en-AU"/>
              </w:rPr>
              <w:t xml:space="preserve">Staff Employees (other than Gippsland Transferred Employees) will receive a 3% salary increase plus an additional percentage increase to standardise salaries.  Refer to Schedules 1 and </w:t>
            </w:r>
            <w:r>
              <w:rPr>
                <w:rFonts w:ascii="Arial" w:eastAsiaTheme="minorEastAsia" w:hAnsi="Arial" w:cs="Arial"/>
                <w:sz w:val="18"/>
                <w:szCs w:val="18"/>
                <w:lang w:eastAsia="en-AU"/>
              </w:rPr>
              <w:t>3 of the</w:t>
            </w:r>
            <w:r w:rsidRPr="009E6CEB">
              <w:rPr>
                <w:rFonts w:ascii="Arial" w:eastAsiaTheme="minorEastAsia" w:hAnsi="Arial" w:cs="Arial"/>
                <w:sz w:val="18"/>
                <w:szCs w:val="18"/>
                <w:lang w:eastAsia="en-AU"/>
              </w:rPr>
              <w:t xml:space="preserve"> Agreement for details of specific percentage increases applicable to each incremental salary point;</w:t>
            </w:r>
            <w:r w:rsidRPr="009E6CEB">
              <w:rPr>
                <w:rFonts w:ascii="Arial" w:eastAsiaTheme="minorEastAsia" w:hAnsi="Arial" w:cs="Arial"/>
                <w:b/>
                <w:sz w:val="18"/>
                <w:szCs w:val="18"/>
                <w:lang w:eastAsia="en-AU"/>
              </w:rPr>
              <w:t xml:space="preserve"> </w:t>
            </w:r>
          </w:p>
          <w:p w:rsidR="0017224A" w:rsidRPr="009E6CEB" w:rsidRDefault="0017224A" w:rsidP="00876DC6">
            <w:pPr>
              <w:pStyle w:val="ListParagraph"/>
              <w:numPr>
                <w:ilvl w:val="0"/>
                <w:numId w:val="3"/>
              </w:numPr>
              <w:spacing w:after="120" w:line="240" w:lineRule="auto"/>
              <w:ind w:left="317" w:right="139" w:hanging="284"/>
              <w:contextualSpacing w:val="0"/>
              <w:rPr>
                <w:rFonts w:ascii="Arial" w:hAnsi="Arial" w:cs="Arial"/>
                <w:b/>
                <w:sz w:val="18"/>
                <w:szCs w:val="18"/>
              </w:rPr>
            </w:pPr>
            <w:r w:rsidRPr="009E6CEB">
              <w:rPr>
                <w:rFonts w:ascii="Arial" w:hAnsi="Arial" w:cs="Arial"/>
                <w:sz w:val="18"/>
                <w:szCs w:val="18"/>
              </w:rPr>
              <w:t>2% from 8 January 2017 (All Staff covered by th</w:t>
            </w:r>
            <w:r>
              <w:rPr>
                <w:rFonts w:ascii="Arial" w:hAnsi="Arial" w:cs="Arial"/>
                <w:sz w:val="18"/>
                <w:szCs w:val="18"/>
              </w:rPr>
              <w:t>e</w:t>
            </w:r>
            <w:r w:rsidRPr="009E6CEB">
              <w:rPr>
                <w:rFonts w:ascii="Arial" w:hAnsi="Arial" w:cs="Arial"/>
                <w:sz w:val="18"/>
                <w:szCs w:val="18"/>
              </w:rPr>
              <w:t xml:space="preserve"> Agreement);</w:t>
            </w:r>
            <w:r w:rsidRPr="009E6CEB">
              <w:rPr>
                <w:rFonts w:ascii="Arial" w:hAnsi="Arial" w:cs="Arial"/>
                <w:b/>
                <w:sz w:val="18"/>
                <w:szCs w:val="18"/>
              </w:rPr>
              <w:t xml:space="preserve"> </w:t>
            </w:r>
          </w:p>
          <w:p w:rsidR="0017224A" w:rsidRPr="009E6CEB" w:rsidRDefault="0017224A" w:rsidP="00876DC6">
            <w:pPr>
              <w:pStyle w:val="ListParagraph"/>
              <w:numPr>
                <w:ilvl w:val="0"/>
                <w:numId w:val="3"/>
              </w:numPr>
              <w:spacing w:after="120" w:line="240" w:lineRule="auto"/>
              <w:ind w:left="317" w:right="139" w:hanging="284"/>
              <w:contextualSpacing w:val="0"/>
              <w:rPr>
                <w:rFonts w:ascii="Arial" w:hAnsi="Arial" w:cs="Arial"/>
                <w:b/>
                <w:sz w:val="18"/>
                <w:szCs w:val="18"/>
              </w:rPr>
            </w:pPr>
            <w:r w:rsidRPr="009E6CEB">
              <w:rPr>
                <w:rFonts w:ascii="Arial" w:hAnsi="Arial" w:cs="Arial"/>
                <w:sz w:val="18"/>
                <w:szCs w:val="18"/>
              </w:rPr>
              <w:t>2% from 9 July 2017 (All Staff</w:t>
            </w:r>
            <w:r>
              <w:rPr>
                <w:rFonts w:ascii="Arial" w:hAnsi="Arial" w:cs="Arial"/>
                <w:sz w:val="18"/>
                <w:szCs w:val="18"/>
              </w:rPr>
              <w:t xml:space="preserve"> covered by the</w:t>
            </w:r>
            <w:r w:rsidRPr="009E6CEB">
              <w:rPr>
                <w:rFonts w:ascii="Arial" w:hAnsi="Arial" w:cs="Arial"/>
                <w:sz w:val="18"/>
                <w:szCs w:val="18"/>
              </w:rPr>
              <w:t xml:space="preserve"> Agreement); and</w:t>
            </w:r>
          </w:p>
          <w:p w:rsidR="0017224A" w:rsidRPr="004348E8" w:rsidRDefault="0017224A" w:rsidP="00876DC6">
            <w:pPr>
              <w:pStyle w:val="ListParagraph"/>
              <w:numPr>
                <w:ilvl w:val="0"/>
                <w:numId w:val="3"/>
              </w:numPr>
              <w:spacing w:after="120" w:line="240" w:lineRule="auto"/>
              <w:ind w:left="317" w:right="139" w:hanging="284"/>
              <w:contextualSpacing w:val="0"/>
              <w:rPr>
                <w:rFonts w:ascii="Arial" w:hAnsi="Arial" w:cs="Arial"/>
                <w:b/>
                <w:sz w:val="18"/>
                <w:szCs w:val="18"/>
                <w:lang w:val="en-US"/>
              </w:rPr>
            </w:pPr>
            <w:r w:rsidRPr="009E6CEB">
              <w:rPr>
                <w:rFonts w:ascii="Arial" w:hAnsi="Arial" w:cs="Arial"/>
                <w:sz w:val="18"/>
                <w:szCs w:val="18"/>
              </w:rPr>
              <w:t>1% from 1 Apri</w:t>
            </w:r>
            <w:r>
              <w:rPr>
                <w:rFonts w:ascii="Arial" w:hAnsi="Arial" w:cs="Arial"/>
                <w:sz w:val="18"/>
                <w:szCs w:val="18"/>
              </w:rPr>
              <w:t>l 2018 (All Staff covered by the</w:t>
            </w:r>
            <w:r w:rsidRPr="009E6CEB">
              <w:rPr>
                <w:rFonts w:ascii="Arial" w:hAnsi="Arial" w:cs="Arial"/>
                <w:sz w:val="18"/>
                <w:szCs w:val="18"/>
              </w:rPr>
              <w:t xml:space="preserve"> Agreement).</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rPr>
            </w:pPr>
            <w:hyperlink r:id="rId22" w:anchor="Overpayment" w:history="1">
              <w:r w:rsidR="0017224A" w:rsidRPr="00624D3B">
                <w:rPr>
                  <w:rStyle w:val="Hyperlink"/>
                  <w:rFonts w:ascii="Arial" w:hAnsi="Arial" w:cs="Arial"/>
                  <w:b w:val="0"/>
                  <w:sz w:val="18"/>
                  <w:szCs w:val="18"/>
                </w:rPr>
                <w:t>14.4 – Overpayments and Underpayments</w:t>
              </w:r>
            </w:hyperlink>
          </w:p>
        </w:tc>
        <w:tc>
          <w:tcPr>
            <w:tcW w:w="1692" w:type="dxa"/>
          </w:tcPr>
          <w:p w:rsidR="0017224A" w:rsidRPr="009F4271" w:rsidRDefault="00C96384"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Pr="004348E8"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Introduces specified processes for the rectification of overpayment and underpayments</w:t>
            </w:r>
          </w:p>
        </w:tc>
      </w:tr>
      <w:tr w:rsidR="0017224A" w:rsidRPr="004348E8" w:rsidTr="00876DC6">
        <w:tc>
          <w:tcPr>
            <w:tcW w:w="3908" w:type="dxa"/>
          </w:tcPr>
          <w:p w:rsidR="0017224A" w:rsidRPr="004348E8" w:rsidRDefault="00A46FFF" w:rsidP="00876DC6">
            <w:pPr>
              <w:pStyle w:val="agpsbold"/>
              <w:spacing w:before="60" w:after="60"/>
              <w:ind w:left="34"/>
              <w:rPr>
                <w:rFonts w:ascii="Arial" w:hAnsi="Arial" w:cs="Arial"/>
                <w:b w:val="0"/>
                <w:sz w:val="18"/>
                <w:szCs w:val="18"/>
              </w:rPr>
            </w:pPr>
            <w:hyperlink r:id="rId23" w:anchor="Superannuation" w:history="1">
              <w:r w:rsidR="0017224A" w:rsidRPr="00624D3B">
                <w:rPr>
                  <w:rStyle w:val="Hyperlink"/>
                  <w:rFonts w:ascii="Arial" w:hAnsi="Arial" w:cs="Arial"/>
                  <w:b w:val="0"/>
                  <w:sz w:val="18"/>
                  <w:szCs w:val="18"/>
                </w:rPr>
                <w:t>15 – Superannuation</w:t>
              </w:r>
            </w:hyperlink>
          </w:p>
        </w:tc>
        <w:tc>
          <w:tcPr>
            <w:tcW w:w="1692" w:type="dxa"/>
          </w:tcPr>
          <w:p w:rsidR="0017224A" w:rsidRPr="009F4271" w:rsidRDefault="00C96384"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Maintains existing provisions.</w:t>
            </w:r>
          </w:p>
          <w:p w:rsidR="0017224A" w:rsidRDefault="0017224A" w:rsidP="00876DC6">
            <w:pPr>
              <w:pStyle w:val="agpsbold"/>
              <w:spacing w:after="60"/>
              <w:ind w:right="139"/>
              <w:rPr>
                <w:rFonts w:ascii="Arial" w:hAnsi="Arial" w:cs="Arial"/>
                <w:b w:val="0"/>
                <w:sz w:val="18"/>
                <w:szCs w:val="18"/>
                <w:lang w:val="en-US"/>
              </w:rPr>
            </w:pPr>
            <w:r>
              <w:rPr>
                <w:rFonts w:ascii="Arial" w:hAnsi="Arial" w:cs="Arial"/>
                <w:b w:val="0"/>
                <w:sz w:val="18"/>
                <w:szCs w:val="18"/>
                <w:lang w:val="en-US"/>
              </w:rPr>
              <w:t>Introduces that:</w:t>
            </w:r>
          </w:p>
          <w:p w:rsidR="0017224A" w:rsidRDefault="0017224A" w:rsidP="00876DC6">
            <w:pPr>
              <w:pStyle w:val="agpsbold"/>
              <w:numPr>
                <w:ilvl w:val="0"/>
                <w:numId w:val="4"/>
              </w:numPr>
              <w:spacing w:after="60"/>
              <w:ind w:left="317" w:right="139" w:hanging="284"/>
              <w:rPr>
                <w:rFonts w:ascii="Arial" w:hAnsi="Arial" w:cs="Arial"/>
                <w:b w:val="0"/>
                <w:sz w:val="18"/>
                <w:szCs w:val="18"/>
                <w:lang w:val="en-US"/>
              </w:rPr>
            </w:pPr>
            <w:r>
              <w:rPr>
                <w:rFonts w:ascii="Arial" w:hAnsi="Arial" w:cs="Arial"/>
                <w:b w:val="0"/>
                <w:sz w:val="18"/>
                <w:szCs w:val="18"/>
                <w:lang w:val="en-US"/>
              </w:rPr>
              <w:t>relevant employer contributions shall continue regardless of employee’s age;</w:t>
            </w:r>
          </w:p>
          <w:p w:rsidR="0017224A" w:rsidRPr="00C1129A" w:rsidRDefault="0017224A" w:rsidP="00876DC6">
            <w:pPr>
              <w:pStyle w:val="agpsbold"/>
              <w:numPr>
                <w:ilvl w:val="0"/>
                <w:numId w:val="4"/>
              </w:numPr>
              <w:spacing w:after="120"/>
              <w:ind w:left="317" w:right="139" w:hanging="284"/>
              <w:rPr>
                <w:rFonts w:ascii="Arial" w:hAnsi="Arial" w:cs="Arial"/>
                <w:b w:val="0"/>
                <w:sz w:val="18"/>
                <w:szCs w:val="18"/>
                <w:lang w:val="en-US"/>
              </w:rPr>
            </w:pPr>
            <w:r>
              <w:rPr>
                <w:rFonts w:ascii="Arial" w:hAnsi="Arial" w:cs="Arial"/>
                <w:b w:val="0"/>
                <w:sz w:val="18"/>
                <w:szCs w:val="18"/>
                <w:lang w:val="en-US"/>
              </w:rPr>
              <w:t>contributions will be mainlined while an employee is in receipt of accident make-up pay</w:t>
            </w:r>
            <w:r w:rsidR="00D856DC">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24" w:anchor="IncrementalSalary" w:history="1">
              <w:r w:rsidR="0017224A" w:rsidRPr="00624D3B">
                <w:rPr>
                  <w:rStyle w:val="Hyperlink"/>
                  <w:rFonts w:ascii="Arial" w:hAnsi="Arial" w:cs="Arial"/>
                  <w:b w:val="0"/>
                  <w:sz w:val="18"/>
                  <w:szCs w:val="18"/>
                </w:rPr>
                <w:t>18 – Incremental Salary Progression</w:t>
              </w:r>
            </w:hyperlink>
          </w:p>
        </w:tc>
        <w:tc>
          <w:tcPr>
            <w:tcW w:w="1692" w:type="dxa"/>
          </w:tcPr>
          <w:p w:rsidR="0017224A" w:rsidRPr="009F4271" w:rsidRDefault="00C96384"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Maintains existing provisions.</w:t>
            </w:r>
          </w:p>
          <w:p w:rsidR="0017224A" w:rsidRPr="004348E8" w:rsidRDefault="0017224A" w:rsidP="00876DC6">
            <w:pPr>
              <w:pStyle w:val="agpsbold"/>
              <w:spacing w:after="120"/>
              <w:ind w:right="139"/>
              <w:rPr>
                <w:rFonts w:ascii="Arial" w:hAnsi="Arial" w:cs="Arial"/>
                <w:b w:val="0"/>
                <w:sz w:val="18"/>
                <w:szCs w:val="18"/>
                <w:lang w:val="en-US"/>
              </w:rPr>
            </w:pPr>
            <w:r>
              <w:rPr>
                <w:rFonts w:ascii="Arial" w:hAnsi="Arial" w:cs="Arial"/>
                <w:b w:val="0"/>
                <w:sz w:val="18"/>
                <w:szCs w:val="18"/>
                <w:lang w:val="en-US"/>
              </w:rPr>
              <w:t xml:space="preserve">Clause 18.7 adds provisions formerly located at clause 47.1, concerning linking of HEW classification levels 1 and 2. </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25" w:anchor="HoursofWork" w:history="1">
              <w:r w:rsidR="0017224A" w:rsidRPr="00624D3B">
                <w:rPr>
                  <w:rStyle w:val="Hyperlink"/>
                  <w:rFonts w:ascii="Arial" w:hAnsi="Arial" w:cs="Arial"/>
                  <w:b w:val="0"/>
                  <w:sz w:val="18"/>
                  <w:szCs w:val="18"/>
                </w:rPr>
                <w:t>22</w:t>
              </w:r>
              <w:r w:rsidR="005B4300" w:rsidRPr="00624D3B">
                <w:rPr>
                  <w:rStyle w:val="Hyperlink"/>
                  <w:rFonts w:ascii="Arial" w:hAnsi="Arial" w:cs="Arial"/>
                  <w:b w:val="0"/>
                  <w:sz w:val="18"/>
                  <w:szCs w:val="18"/>
                </w:rPr>
                <w:t xml:space="preserve"> –</w:t>
              </w:r>
              <w:r w:rsidR="0017224A" w:rsidRPr="00624D3B">
                <w:rPr>
                  <w:rStyle w:val="Hyperlink"/>
                  <w:rFonts w:ascii="Arial" w:hAnsi="Arial" w:cs="Arial"/>
                  <w:b w:val="0"/>
                  <w:sz w:val="18"/>
                  <w:szCs w:val="18"/>
                </w:rPr>
                <w:t xml:space="preserve"> Hours of Work</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 xml:space="preserve">Introduces </w:t>
            </w:r>
            <w:r w:rsidRPr="0076763C">
              <w:rPr>
                <w:rFonts w:ascii="Arial" w:hAnsi="Arial" w:cs="Arial"/>
                <w:b w:val="0"/>
                <w:sz w:val="18"/>
                <w:szCs w:val="18"/>
                <w:lang w:val="en-US"/>
              </w:rPr>
              <w:t>9-day fortnight ability for Trades and Services (excluding cleaners, residential and cafeteria staff)</w:t>
            </w:r>
            <w:r>
              <w:rPr>
                <w:rFonts w:ascii="Arial" w:hAnsi="Arial" w:cs="Arial"/>
                <w:b w:val="0"/>
                <w:sz w:val="18"/>
                <w:szCs w:val="18"/>
                <w:lang w:val="en-US"/>
              </w:rPr>
              <w:t>.</w:t>
            </w:r>
          </w:p>
          <w:p w:rsidR="0017224A" w:rsidRPr="004348E8" w:rsidRDefault="0017224A" w:rsidP="00876DC6">
            <w:pPr>
              <w:pStyle w:val="agpsbold"/>
              <w:spacing w:after="120"/>
              <w:ind w:right="139"/>
              <w:rPr>
                <w:rFonts w:ascii="Arial" w:hAnsi="Arial" w:cs="Arial"/>
                <w:b w:val="0"/>
                <w:sz w:val="18"/>
                <w:szCs w:val="18"/>
                <w:lang w:val="en-US"/>
              </w:rPr>
            </w:pPr>
            <w:r>
              <w:rPr>
                <w:rFonts w:ascii="Arial" w:hAnsi="Arial" w:cs="Arial"/>
                <w:b w:val="0"/>
                <w:sz w:val="18"/>
                <w:szCs w:val="18"/>
                <w:lang w:val="en-US"/>
              </w:rPr>
              <w:t xml:space="preserve">Changed </w:t>
            </w:r>
            <w:r w:rsidRPr="0076763C">
              <w:rPr>
                <w:rFonts w:ascii="Arial" w:hAnsi="Arial" w:cs="Arial"/>
                <w:b w:val="0"/>
                <w:sz w:val="18"/>
                <w:szCs w:val="18"/>
                <w:lang w:val="en-US"/>
              </w:rPr>
              <w:t xml:space="preserve">UniSports </w:t>
            </w:r>
            <w:r>
              <w:rPr>
                <w:rFonts w:ascii="Arial" w:hAnsi="Arial" w:cs="Arial"/>
                <w:b w:val="0"/>
                <w:sz w:val="18"/>
                <w:szCs w:val="18"/>
                <w:lang w:val="en-US"/>
              </w:rPr>
              <w:t xml:space="preserve">span of hours: </w:t>
            </w:r>
            <w:r w:rsidRPr="0076763C">
              <w:rPr>
                <w:rFonts w:ascii="Arial" w:hAnsi="Arial" w:cs="Arial"/>
                <w:b w:val="0"/>
                <w:sz w:val="18"/>
                <w:szCs w:val="18"/>
                <w:lang w:val="en-US"/>
              </w:rPr>
              <w:t>6:00am – 9:30pm Monday to Friday to recognise pool and gym operations</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26" w:anchor="MealBreaks" w:history="1">
              <w:r w:rsidR="0017224A" w:rsidRPr="00F47382">
                <w:rPr>
                  <w:rStyle w:val="Hyperlink"/>
                  <w:rFonts w:ascii="Arial" w:hAnsi="Arial" w:cs="Arial"/>
                  <w:b w:val="0"/>
                  <w:sz w:val="18"/>
                  <w:szCs w:val="18"/>
                </w:rPr>
                <w:t>23 – Meal Breaks</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Pr="004348E8" w:rsidRDefault="0017224A" w:rsidP="00876DC6">
            <w:pPr>
              <w:pStyle w:val="agpsbold"/>
              <w:spacing w:before="60" w:after="120"/>
              <w:rPr>
                <w:rFonts w:ascii="Arial" w:hAnsi="Arial" w:cs="Arial"/>
                <w:b w:val="0"/>
                <w:sz w:val="18"/>
                <w:szCs w:val="18"/>
                <w:lang w:val="en-US"/>
              </w:rPr>
            </w:pPr>
            <w:r>
              <w:rPr>
                <w:rFonts w:ascii="Arial" w:hAnsi="Arial" w:cs="Arial"/>
                <w:b w:val="0"/>
                <w:sz w:val="18"/>
                <w:szCs w:val="18"/>
                <w:lang w:val="en-US"/>
              </w:rPr>
              <w:t xml:space="preserve">Adds to existing provisions that an employee cannot be required to work more than 5 consecutive hours by also stating that an employee shall not work more than </w:t>
            </w:r>
            <w:r w:rsidRPr="004D085C">
              <w:rPr>
                <w:rFonts w:ascii="Arial" w:hAnsi="Arial" w:cs="Arial"/>
                <w:b w:val="0"/>
                <w:sz w:val="18"/>
                <w:szCs w:val="18"/>
                <w:lang w:val="en-US"/>
              </w:rPr>
              <w:t>5 consecutive hours</w:t>
            </w:r>
          </w:p>
        </w:tc>
      </w:tr>
    </w:tbl>
    <w:p w:rsidR="00542271" w:rsidRDefault="0054227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692"/>
        <w:gridCol w:w="9248"/>
      </w:tblGrid>
      <w:tr w:rsidR="00542271" w:rsidRPr="004348E8" w:rsidTr="00AE7236">
        <w:trPr>
          <w:tblHeader/>
        </w:trPr>
        <w:tc>
          <w:tcPr>
            <w:tcW w:w="3908" w:type="dxa"/>
            <w:vAlign w:val="center"/>
          </w:tcPr>
          <w:p w:rsidR="00542271" w:rsidRPr="009F4271" w:rsidRDefault="00542271" w:rsidP="00AE7236">
            <w:pPr>
              <w:pStyle w:val="agpsbold"/>
              <w:spacing w:before="60" w:after="60"/>
              <w:ind w:left="34"/>
              <w:rPr>
                <w:rFonts w:ascii="Arial" w:hAnsi="Arial" w:cs="Arial"/>
                <w:sz w:val="18"/>
                <w:szCs w:val="18"/>
                <w:lang w:val="en-US"/>
              </w:rPr>
            </w:pPr>
            <w:r w:rsidRPr="009F4271">
              <w:rPr>
                <w:rFonts w:ascii="Arial" w:hAnsi="Arial" w:cs="Arial"/>
                <w:sz w:val="18"/>
                <w:szCs w:val="18"/>
                <w:lang w:val="en-US"/>
              </w:rPr>
              <w:lastRenderedPageBreak/>
              <w:t>Clause</w:t>
            </w:r>
          </w:p>
        </w:tc>
        <w:tc>
          <w:tcPr>
            <w:tcW w:w="1692" w:type="dxa"/>
            <w:vAlign w:val="center"/>
          </w:tcPr>
          <w:p w:rsidR="00542271" w:rsidRPr="009F4271" w:rsidRDefault="00542271" w:rsidP="00AE7236">
            <w:pPr>
              <w:pStyle w:val="agpsbold"/>
              <w:spacing w:before="60" w:after="60"/>
              <w:rPr>
                <w:rFonts w:ascii="Arial" w:hAnsi="Arial" w:cs="Arial"/>
                <w:sz w:val="18"/>
                <w:szCs w:val="18"/>
                <w:lang w:val="en-US"/>
              </w:rPr>
            </w:pPr>
            <w:r w:rsidRPr="009F4271">
              <w:rPr>
                <w:rFonts w:ascii="Arial" w:hAnsi="Arial" w:cs="Arial"/>
                <w:sz w:val="18"/>
                <w:szCs w:val="18"/>
                <w:lang w:val="en-US"/>
              </w:rPr>
              <w:t xml:space="preserve">N </w:t>
            </w:r>
            <w:r w:rsidRPr="009F4271">
              <w:rPr>
                <w:rFonts w:ascii="Arial" w:hAnsi="Arial" w:cs="Arial"/>
                <w:b w:val="0"/>
                <w:sz w:val="18"/>
                <w:szCs w:val="18"/>
                <w:lang w:val="en-US"/>
              </w:rPr>
              <w:t>= new</w:t>
            </w:r>
          </w:p>
          <w:p w:rsidR="00542271" w:rsidRPr="009F4271" w:rsidRDefault="00542271" w:rsidP="00AE7236">
            <w:pPr>
              <w:pStyle w:val="agpsbold"/>
              <w:spacing w:before="60" w:after="60"/>
              <w:rPr>
                <w:rFonts w:ascii="Arial" w:hAnsi="Arial" w:cs="Arial"/>
                <w:sz w:val="18"/>
                <w:szCs w:val="18"/>
                <w:lang w:val="en-US"/>
              </w:rPr>
            </w:pPr>
            <w:r w:rsidRPr="009F4271">
              <w:rPr>
                <w:rFonts w:ascii="Arial" w:hAnsi="Arial" w:cs="Arial"/>
                <w:sz w:val="18"/>
                <w:szCs w:val="18"/>
                <w:lang w:val="en-US"/>
              </w:rPr>
              <w:t xml:space="preserve">A </w:t>
            </w:r>
            <w:r w:rsidRPr="009F4271">
              <w:rPr>
                <w:rFonts w:ascii="Arial" w:hAnsi="Arial" w:cs="Arial"/>
                <w:b w:val="0"/>
                <w:sz w:val="18"/>
                <w:szCs w:val="18"/>
                <w:lang w:val="en-US"/>
              </w:rPr>
              <w:t>= amendment</w:t>
            </w:r>
            <w:r>
              <w:rPr>
                <w:rFonts w:ascii="Arial" w:hAnsi="Arial" w:cs="Arial"/>
                <w:b w:val="0"/>
                <w:sz w:val="18"/>
                <w:szCs w:val="18"/>
                <w:lang w:val="en-US"/>
              </w:rPr>
              <w:t xml:space="preserve"> or addition</w:t>
            </w:r>
          </w:p>
        </w:tc>
        <w:tc>
          <w:tcPr>
            <w:tcW w:w="9248" w:type="dxa"/>
            <w:vAlign w:val="center"/>
          </w:tcPr>
          <w:p w:rsidR="00542271" w:rsidRPr="00D5746F" w:rsidRDefault="00542271" w:rsidP="00AE7236">
            <w:pPr>
              <w:pStyle w:val="agpsbold"/>
              <w:spacing w:before="60" w:after="60"/>
              <w:ind w:right="175"/>
              <w:rPr>
                <w:rFonts w:ascii="Arial" w:hAnsi="Arial" w:cs="Arial"/>
                <w:sz w:val="18"/>
                <w:szCs w:val="18"/>
                <w:lang w:val="en-US"/>
              </w:rPr>
            </w:pPr>
            <w:r w:rsidRPr="00D5746F">
              <w:rPr>
                <w:rFonts w:ascii="Arial" w:hAnsi="Arial" w:cs="Arial"/>
                <w:sz w:val="18"/>
                <w:szCs w:val="18"/>
                <w:lang w:val="en-US"/>
              </w:rPr>
              <w:t>Change or Addition</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27" w:anchor="WorkplaceFlex" w:history="1">
              <w:r w:rsidR="0017224A" w:rsidRPr="00F47382">
                <w:rPr>
                  <w:rStyle w:val="Hyperlink"/>
                  <w:rFonts w:ascii="Arial" w:hAnsi="Arial" w:cs="Arial"/>
                  <w:b w:val="0"/>
                  <w:sz w:val="18"/>
                  <w:szCs w:val="18"/>
                </w:rPr>
                <w:t>30</w:t>
              </w:r>
              <w:r w:rsidR="00C1129A" w:rsidRPr="00F47382">
                <w:rPr>
                  <w:rStyle w:val="Hyperlink"/>
                  <w:rFonts w:ascii="Arial" w:hAnsi="Arial" w:cs="Arial"/>
                  <w:b w:val="0"/>
                  <w:sz w:val="18"/>
                  <w:szCs w:val="18"/>
                </w:rPr>
                <w:t xml:space="preserve"> </w:t>
              </w:r>
              <w:r w:rsidR="00C1129A" w:rsidRPr="00F47382">
                <w:rPr>
                  <w:rStyle w:val="Hyperlink"/>
                  <w:rFonts w:ascii="Arial" w:hAnsi="Arial" w:cs="Arial"/>
                  <w:b w:val="0"/>
                  <w:sz w:val="18"/>
                  <w:szCs w:val="18"/>
                  <w:lang w:val="en-US"/>
                </w:rPr>
                <w:t>–</w:t>
              </w:r>
              <w:r w:rsidR="0017224A" w:rsidRPr="00F47382">
                <w:rPr>
                  <w:rStyle w:val="Hyperlink"/>
                  <w:rFonts w:ascii="Arial" w:hAnsi="Arial" w:cs="Arial"/>
                  <w:b w:val="0"/>
                  <w:sz w:val="18"/>
                  <w:szCs w:val="18"/>
                </w:rPr>
                <w:t xml:space="preserve"> Workplace Flexibility</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120"/>
              <w:rPr>
                <w:rFonts w:ascii="Arial" w:hAnsi="Arial" w:cs="Arial"/>
                <w:b w:val="0"/>
                <w:sz w:val="18"/>
                <w:szCs w:val="18"/>
                <w:lang w:val="en-US"/>
              </w:rPr>
            </w:pPr>
            <w:r>
              <w:rPr>
                <w:rFonts w:ascii="Arial" w:hAnsi="Arial" w:cs="Arial"/>
                <w:b w:val="0"/>
                <w:sz w:val="18"/>
                <w:szCs w:val="18"/>
                <w:lang w:val="en-US"/>
              </w:rPr>
              <w:t>Maintains existing provisions.</w:t>
            </w:r>
          </w:p>
          <w:p w:rsidR="0017224A" w:rsidRPr="004348E8" w:rsidRDefault="0017224A" w:rsidP="00876DC6">
            <w:pPr>
              <w:pStyle w:val="agpsbold"/>
              <w:spacing w:after="120"/>
              <w:rPr>
                <w:rFonts w:ascii="Arial" w:hAnsi="Arial" w:cs="Arial"/>
                <w:b w:val="0"/>
                <w:sz w:val="18"/>
                <w:szCs w:val="18"/>
                <w:lang w:val="en-US"/>
              </w:rPr>
            </w:pPr>
            <w:r>
              <w:rPr>
                <w:rFonts w:ascii="Arial" w:hAnsi="Arial" w:cs="Arial"/>
                <w:b w:val="0"/>
                <w:sz w:val="18"/>
                <w:szCs w:val="18"/>
                <w:lang w:val="en-US"/>
              </w:rPr>
              <w:t>Adds words to highlight ability of parties to agree to flexible working arrangements</w:t>
            </w:r>
            <w:r w:rsidR="008157DB">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28" w:anchor="PurchasedLeave" w:history="1">
              <w:r w:rsidR="0017224A" w:rsidRPr="00F47382">
                <w:rPr>
                  <w:rStyle w:val="Hyperlink"/>
                  <w:rFonts w:ascii="Arial" w:hAnsi="Arial" w:cs="Arial"/>
                  <w:b w:val="0"/>
                  <w:sz w:val="18"/>
                  <w:szCs w:val="18"/>
                </w:rPr>
                <w:t>31 – Purchased Leave</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5B4300">
            <w:pPr>
              <w:pStyle w:val="agpsbold"/>
              <w:spacing w:before="60" w:after="120"/>
              <w:jc w:val="both"/>
              <w:rPr>
                <w:rFonts w:ascii="Arial" w:hAnsi="Arial" w:cs="Arial"/>
                <w:b w:val="0"/>
                <w:sz w:val="18"/>
                <w:szCs w:val="18"/>
                <w:lang w:val="en-US"/>
              </w:rPr>
            </w:pPr>
            <w:r w:rsidRPr="004D085C">
              <w:rPr>
                <w:rFonts w:ascii="Arial" w:hAnsi="Arial" w:cs="Arial"/>
                <w:b w:val="0"/>
                <w:sz w:val="18"/>
                <w:szCs w:val="18"/>
                <w:lang w:val="en-US"/>
              </w:rPr>
              <w:t>Maintains existing provisions</w:t>
            </w:r>
            <w:r>
              <w:rPr>
                <w:rFonts w:ascii="Arial" w:hAnsi="Arial" w:cs="Arial"/>
                <w:b w:val="0"/>
                <w:sz w:val="18"/>
                <w:szCs w:val="18"/>
                <w:lang w:val="en-US"/>
              </w:rPr>
              <w:t xml:space="preserve"> (change of clause title only).</w:t>
            </w:r>
          </w:p>
          <w:p w:rsidR="0017224A" w:rsidRPr="004348E8" w:rsidRDefault="0017224A" w:rsidP="00C1129A">
            <w:pPr>
              <w:pStyle w:val="agpsbold"/>
              <w:spacing w:after="120"/>
              <w:jc w:val="both"/>
              <w:rPr>
                <w:rFonts w:ascii="Arial" w:hAnsi="Arial" w:cs="Arial"/>
                <w:b w:val="0"/>
                <w:sz w:val="18"/>
                <w:szCs w:val="18"/>
                <w:lang w:val="en-US"/>
              </w:rPr>
            </w:pPr>
            <w:r>
              <w:rPr>
                <w:rFonts w:ascii="Arial" w:hAnsi="Arial" w:cs="Arial"/>
                <w:b w:val="0"/>
                <w:sz w:val="18"/>
                <w:szCs w:val="18"/>
                <w:lang w:val="en-US"/>
              </w:rPr>
              <w:t>Previously titled “</w:t>
            </w:r>
            <w:r w:rsidRPr="004D085C">
              <w:rPr>
                <w:rFonts w:ascii="Arial" w:hAnsi="Arial" w:cs="Arial"/>
                <w:b w:val="0"/>
                <w:sz w:val="18"/>
                <w:szCs w:val="18"/>
                <w:lang w:val="en-US"/>
              </w:rPr>
              <w:t>Forty-Eight / Fifty-Two (48/52) Week Employment Cycle</w:t>
            </w:r>
            <w:r>
              <w:rPr>
                <w:rFonts w:ascii="Arial" w:hAnsi="Arial" w:cs="Arial"/>
                <w:b w:val="0"/>
                <w:sz w:val="18"/>
                <w:szCs w:val="18"/>
                <w:lang w:val="en-US"/>
              </w:rPr>
              <w:t>”</w:t>
            </w:r>
            <w:r w:rsidR="008157DB">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29" w:anchor="ManagingWLAca" w:history="1">
              <w:r w:rsidR="0017224A" w:rsidRPr="00F47382">
                <w:rPr>
                  <w:rStyle w:val="Hyperlink"/>
                  <w:rFonts w:ascii="Arial" w:hAnsi="Arial" w:cs="Arial"/>
                  <w:b w:val="0"/>
                  <w:sz w:val="18"/>
                  <w:szCs w:val="18"/>
                </w:rPr>
                <w:t>36 – Managing Workloads – Academic Employees</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120"/>
              <w:ind w:right="176"/>
              <w:rPr>
                <w:rFonts w:ascii="Arial" w:hAnsi="Arial" w:cs="Arial"/>
                <w:b w:val="0"/>
                <w:sz w:val="18"/>
                <w:szCs w:val="18"/>
                <w:lang w:val="en-US"/>
              </w:rPr>
            </w:pPr>
            <w:r>
              <w:rPr>
                <w:rFonts w:ascii="Arial" w:hAnsi="Arial" w:cs="Arial"/>
                <w:b w:val="0"/>
                <w:sz w:val="18"/>
                <w:szCs w:val="18"/>
                <w:lang w:val="en-US"/>
              </w:rPr>
              <w:t>Substantive changes have been made to this clause including:</w:t>
            </w:r>
          </w:p>
          <w:p w:rsidR="0017224A" w:rsidRPr="00221B00" w:rsidRDefault="0017224A" w:rsidP="00876DC6">
            <w:pPr>
              <w:pStyle w:val="agpsbold"/>
              <w:numPr>
                <w:ilvl w:val="0"/>
                <w:numId w:val="5"/>
              </w:numPr>
              <w:spacing w:after="120"/>
              <w:ind w:left="388" w:right="176" w:hanging="388"/>
              <w:rPr>
                <w:rFonts w:ascii="Arial" w:hAnsi="Arial" w:cs="Arial"/>
                <w:b w:val="0"/>
                <w:sz w:val="18"/>
                <w:szCs w:val="18"/>
                <w:lang w:val="en-US"/>
              </w:rPr>
            </w:pPr>
            <w:r w:rsidRPr="00221B00">
              <w:rPr>
                <w:rFonts w:ascii="Arial" w:hAnsi="Arial" w:cs="Arial"/>
                <w:b w:val="0"/>
                <w:sz w:val="18"/>
                <w:szCs w:val="18"/>
                <w:lang w:val="en-US"/>
              </w:rPr>
              <w:t>Workload Allocations based on a spectrum providing scope for negotiation that will recognise the diversity of academic work, which can range from staff having research-intensive (up to 80%) to teaching-intensive (up to 70%) workloads</w:t>
            </w:r>
            <w:r w:rsidR="008157DB">
              <w:rPr>
                <w:rFonts w:ascii="Arial" w:hAnsi="Arial" w:cs="Arial"/>
                <w:b w:val="0"/>
                <w:sz w:val="18"/>
                <w:szCs w:val="18"/>
                <w:lang w:val="en-US"/>
              </w:rPr>
              <w:t>.</w:t>
            </w:r>
          </w:p>
          <w:p w:rsidR="0017224A" w:rsidRPr="00221B00" w:rsidRDefault="0017224A" w:rsidP="00876DC6">
            <w:pPr>
              <w:pStyle w:val="agpsbold"/>
              <w:numPr>
                <w:ilvl w:val="0"/>
                <w:numId w:val="5"/>
              </w:numPr>
              <w:spacing w:after="120"/>
              <w:ind w:left="388" w:right="176" w:hanging="388"/>
              <w:rPr>
                <w:rFonts w:ascii="Arial" w:hAnsi="Arial" w:cs="Arial"/>
                <w:b w:val="0"/>
                <w:sz w:val="18"/>
                <w:szCs w:val="18"/>
                <w:lang w:val="en-US"/>
              </w:rPr>
            </w:pPr>
            <w:r w:rsidRPr="00221B00">
              <w:rPr>
                <w:rFonts w:ascii="Arial" w:hAnsi="Arial" w:cs="Arial"/>
                <w:b w:val="0"/>
                <w:sz w:val="18"/>
                <w:szCs w:val="18"/>
                <w:lang w:val="en-US"/>
              </w:rPr>
              <w:t>Workloads to be measured by an adjusted Equivalent Full Time Student Load basis taking into account discipline specific pedagogies, professional accreditation requirements and levels of study</w:t>
            </w:r>
            <w:r w:rsidR="008157DB">
              <w:rPr>
                <w:rFonts w:ascii="Arial" w:hAnsi="Arial" w:cs="Arial"/>
                <w:b w:val="0"/>
                <w:sz w:val="18"/>
                <w:szCs w:val="18"/>
                <w:lang w:val="en-US"/>
              </w:rPr>
              <w:t>.</w:t>
            </w:r>
          </w:p>
          <w:p w:rsidR="0017224A" w:rsidRPr="004348E8" w:rsidRDefault="0017224A" w:rsidP="00876DC6">
            <w:pPr>
              <w:pStyle w:val="agpsbold"/>
              <w:numPr>
                <w:ilvl w:val="0"/>
                <w:numId w:val="5"/>
              </w:numPr>
              <w:spacing w:after="120"/>
              <w:ind w:left="388" w:right="176" w:hanging="388"/>
              <w:rPr>
                <w:rFonts w:ascii="Arial" w:hAnsi="Arial" w:cs="Arial"/>
                <w:b w:val="0"/>
                <w:sz w:val="18"/>
                <w:szCs w:val="18"/>
                <w:lang w:val="en-US"/>
              </w:rPr>
            </w:pPr>
            <w:r w:rsidRPr="00221B00">
              <w:rPr>
                <w:rFonts w:ascii="Arial" w:hAnsi="Arial" w:cs="Arial"/>
                <w:b w:val="0"/>
                <w:sz w:val="18"/>
                <w:szCs w:val="18"/>
                <w:lang w:val="en-US"/>
              </w:rPr>
              <w:t>Inclusion of a Faculty Review Panel to review individual employee workload allocation</w:t>
            </w:r>
            <w:r>
              <w:rPr>
                <w:rFonts w:ascii="Arial" w:hAnsi="Arial" w:cs="Arial"/>
                <w:b w:val="0"/>
                <w:sz w:val="18"/>
                <w:szCs w:val="18"/>
                <w:lang w:val="en-US"/>
              </w:rPr>
              <w:t xml:space="preserve"> </w:t>
            </w:r>
            <w:r w:rsidRPr="00221B00">
              <w:rPr>
                <w:rFonts w:ascii="Arial" w:hAnsi="Arial" w:cs="Arial"/>
                <w:b w:val="0"/>
                <w:sz w:val="18"/>
                <w:szCs w:val="18"/>
                <w:lang w:val="en-US"/>
              </w:rPr>
              <w:t>concerns which cannot be resolved between the employee and supervisor</w:t>
            </w:r>
            <w:r w:rsidR="008157DB">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30" w:anchor="ManagingWLG" w:history="1">
              <w:r w:rsidR="0017224A" w:rsidRPr="00F47382">
                <w:rPr>
                  <w:rStyle w:val="Hyperlink"/>
                  <w:rFonts w:ascii="Arial" w:hAnsi="Arial" w:cs="Arial"/>
                  <w:b w:val="0"/>
                  <w:sz w:val="18"/>
                  <w:szCs w:val="18"/>
                </w:rPr>
                <w:t>37 – Managing Workloads – General Staff Employees</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76"/>
              <w:rPr>
                <w:rFonts w:ascii="Arial" w:hAnsi="Arial" w:cs="Arial"/>
                <w:b w:val="0"/>
                <w:sz w:val="18"/>
                <w:szCs w:val="18"/>
                <w:lang w:val="en-US"/>
              </w:rPr>
            </w:pPr>
            <w:r>
              <w:rPr>
                <w:rFonts w:ascii="Arial" w:hAnsi="Arial" w:cs="Arial"/>
                <w:b w:val="0"/>
                <w:sz w:val="18"/>
                <w:szCs w:val="18"/>
                <w:lang w:val="en-US"/>
              </w:rPr>
              <w:t>Maintains existing provisions.</w:t>
            </w:r>
          </w:p>
          <w:p w:rsidR="0017224A" w:rsidRPr="004348E8" w:rsidRDefault="0017224A" w:rsidP="00876DC6">
            <w:pPr>
              <w:pStyle w:val="agpsbold"/>
              <w:spacing w:before="60" w:after="120"/>
              <w:ind w:right="176"/>
              <w:rPr>
                <w:rFonts w:ascii="Arial" w:hAnsi="Arial" w:cs="Arial"/>
                <w:b w:val="0"/>
                <w:sz w:val="18"/>
                <w:szCs w:val="18"/>
                <w:lang w:val="en-US"/>
              </w:rPr>
            </w:pPr>
            <w:r>
              <w:rPr>
                <w:rFonts w:ascii="Arial" w:hAnsi="Arial" w:cs="Arial"/>
                <w:b w:val="0"/>
                <w:sz w:val="18"/>
                <w:szCs w:val="18"/>
                <w:lang w:val="en-US"/>
              </w:rPr>
              <w:t xml:space="preserve">Clause 37.5 added to in respect of replacing staff in key maintenance functions so that completion of essential tasks will continue ‘including agreed cleaning service standards’. </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31" w:anchor="GenStaffClass" w:history="1">
              <w:r w:rsidR="0017224A" w:rsidRPr="00A074F9">
                <w:rPr>
                  <w:rStyle w:val="Hyperlink"/>
                  <w:rFonts w:ascii="Arial" w:hAnsi="Arial" w:cs="Arial"/>
                  <w:b w:val="0"/>
                  <w:sz w:val="18"/>
                  <w:szCs w:val="18"/>
                </w:rPr>
                <w:t>43 – General Staff Classifications</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Pr="004348E8" w:rsidRDefault="0017224A" w:rsidP="00876DC6">
            <w:pPr>
              <w:pStyle w:val="agpsbold"/>
              <w:spacing w:before="60" w:after="120"/>
              <w:ind w:right="176"/>
              <w:rPr>
                <w:rFonts w:ascii="Arial" w:hAnsi="Arial" w:cs="Arial"/>
                <w:b w:val="0"/>
                <w:sz w:val="18"/>
                <w:szCs w:val="18"/>
                <w:lang w:val="en-US"/>
              </w:rPr>
            </w:pPr>
            <w:r>
              <w:rPr>
                <w:rFonts w:ascii="Arial" w:hAnsi="Arial" w:cs="Arial"/>
                <w:b w:val="0"/>
                <w:sz w:val="18"/>
                <w:szCs w:val="18"/>
                <w:lang w:val="en-US"/>
              </w:rPr>
              <w:t xml:space="preserve">Amendment by inclusion of words in bold:  </w:t>
            </w:r>
            <w:r w:rsidRPr="00EC2D13">
              <w:rPr>
                <w:rFonts w:ascii="Arial" w:hAnsi="Arial" w:cs="Arial"/>
                <w:b w:val="0"/>
                <w:sz w:val="18"/>
                <w:szCs w:val="18"/>
                <w:lang w:val="en-US"/>
              </w:rPr>
              <w:t xml:space="preserve">All general staff positions, whether filled on an ongoing, fixed term or casual basis, will be classified according to the HEW position classification standards, which are attached as Schedule 6, </w:t>
            </w:r>
            <w:r w:rsidRPr="00EC2D13">
              <w:rPr>
                <w:rFonts w:ascii="Arial" w:hAnsi="Arial" w:cs="Arial"/>
                <w:sz w:val="18"/>
                <w:szCs w:val="18"/>
                <w:lang w:val="en-US"/>
              </w:rPr>
              <w:t>at whichever classification corresponds to the work performed by the employee</w:t>
            </w:r>
            <w:r w:rsidRPr="00C25E2A">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32" w:anchor="PDsGS" w:history="1">
              <w:r w:rsidR="0017224A" w:rsidRPr="00696DD7">
                <w:rPr>
                  <w:rStyle w:val="Hyperlink"/>
                  <w:rFonts w:ascii="Arial" w:hAnsi="Arial" w:cs="Arial"/>
                  <w:b w:val="0"/>
                  <w:sz w:val="18"/>
                  <w:szCs w:val="18"/>
                </w:rPr>
                <w:t>44 – Position Descriptions</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Pr="004348E8" w:rsidRDefault="0017224A" w:rsidP="00876DC6">
            <w:pPr>
              <w:pStyle w:val="agpsbold"/>
              <w:spacing w:before="60" w:after="120"/>
              <w:ind w:right="176"/>
              <w:rPr>
                <w:rFonts w:ascii="Arial" w:hAnsi="Arial" w:cs="Arial"/>
                <w:b w:val="0"/>
                <w:sz w:val="18"/>
                <w:szCs w:val="18"/>
                <w:lang w:val="en-US"/>
              </w:rPr>
            </w:pPr>
            <w:r w:rsidRPr="005E7AC3">
              <w:rPr>
                <w:rFonts w:ascii="Arial" w:hAnsi="Arial" w:cs="Arial"/>
                <w:b w:val="0"/>
                <w:sz w:val="18"/>
                <w:szCs w:val="18"/>
                <w:lang w:val="en-US"/>
              </w:rPr>
              <w:t xml:space="preserve">Clause 44 in essence remains the same as the previous agreement with some minor amendments. Specifically these amendments clarify that staff will have an agreed position description that matches their position, and changes the nomenclature in the PD review clauses from </w:t>
            </w:r>
            <w:r>
              <w:rPr>
                <w:rFonts w:ascii="Arial" w:hAnsi="Arial" w:cs="Arial"/>
                <w:b w:val="0"/>
                <w:sz w:val="18"/>
                <w:szCs w:val="18"/>
                <w:lang w:val="en-US"/>
              </w:rPr>
              <w:t>‘</w:t>
            </w:r>
            <w:r w:rsidRPr="005E7AC3">
              <w:rPr>
                <w:rFonts w:ascii="Arial" w:hAnsi="Arial" w:cs="Arial"/>
                <w:b w:val="0"/>
                <w:sz w:val="18"/>
                <w:szCs w:val="18"/>
                <w:lang w:val="en-US"/>
              </w:rPr>
              <w:t>per</w:t>
            </w:r>
            <w:r>
              <w:rPr>
                <w:rFonts w:ascii="Arial" w:hAnsi="Arial" w:cs="Arial"/>
                <w:b w:val="0"/>
                <w:sz w:val="18"/>
                <w:szCs w:val="18"/>
                <w:lang w:val="en-US"/>
              </w:rPr>
              <w:t>formance management process’ to ‘</w:t>
            </w:r>
            <w:r w:rsidRPr="005E7AC3">
              <w:rPr>
                <w:rFonts w:ascii="Arial" w:hAnsi="Arial" w:cs="Arial"/>
                <w:b w:val="0"/>
                <w:sz w:val="18"/>
                <w:szCs w:val="18"/>
                <w:lang w:val="en-US"/>
              </w:rPr>
              <w:t>Performance Review and Development Program</w:t>
            </w:r>
            <w:r>
              <w:rPr>
                <w:rFonts w:ascii="Arial" w:hAnsi="Arial" w:cs="Arial"/>
                <w:b w:val="0"/>
                <w:sz w:val="18"/>
                <w:szCs w:val="18"/>
                <w:lang w:val="en-US"/>
              </w:rPr>
              <w:t>’</w:t>
            </w:r>
            <w:r w:rsidRPr="005E7AC3">
              <w:rPr>
                <w:rFonts w:ascii="Arial" w:hAnsi="Arial" w:cs="Arial"/>
                <w:b w:val="0"/>
                <w:sz w:val="18"/>
                <w:szCs w:val="18"/>
                <w:lang w:val="en-US"/>
              </w:rPr>
              <w:t>.</w:t>
            </w:r>
          </w:p>
        </w:tc>
      </w:tr>
    </w:tbl>
    <w:p w:rsidR="00542271" w:rsidRDefault="00542271"/>
    <w:p w:rsidR="00542271" w:rsidRDefault="00542271">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692"/>
        <w:gridCol w:w="9248"/>
      </w:tblGrid>
      <w:tr w:rsidR="00D069DB" w:rsidRPr="004348E8" w:rsidTr="00AE7236">
        <w:trPr>
          <w:tblHeader/>
        </w:trPr>
        <w:tc>
          <w:tcPr>
            <w:tcW w:w="3908" w:type="dxa"/>
            <w:vAlign w:val="center"/>
          </w:tcPr>
          <w:p w:rsidR="00D069DB" w:rsidRPr="009F4271" w:rsidRDefault="00D069DB" w:rsidP="00AE7236">
            <w:pPr>
              <w:pStyle w:val="agpsbold"/>
              <w:spacing w:before="60" w:after="60"/>
              <w:ind w:left="34"/>
              <w:rPr>
                <w:rFonts w:ascii="Arial" w:hAnsi="Arial" w:cs="Arial"/>
                <w:sz w:val="18"/>
                <w:szCs w:val="18"/>
                <w:lang w:val="en-US"/>
              </w:rPr>
            </w:pPr>
            <w:r w:rsidRPr="009F4271">
              <w:rPr>
                <w:rFonts w:ascii="Arial" w:hAnsi="Arial" w:cs="Arial"/>
                <w:sz w:val="18"/>
                <w:szCs w:val="18"/>
                <w:lang w:val="en-US"/>
              </w:rPr>
              <w:lastRenderedPageBreak/>
              <w:t>Clause</w:t>
            </w:r>
          </w:p>
        </w:tc>
        <w:tc>
          <w:tcPr>
            <w:tcW w:w="1692" w:type="dxa"/>
            <w:vAlign w:val="center"/>
          </w:tcPr>
          <w:p w:rsidR="00D069DB" w:rsidRPr="009F4271" w:rsidRDefault="00D069DB" w:rsidP="00AE7236">
            <w:pPr>
              <w:pStyle w:val="agpsbold"/>
              <w:spacing w:before="60" w:after="60"/>
              <w:rPr>
                <w:rFonts w:ascii="Arial" w:hAnsi="Arial" w:cs="Arial"/>
                <w:sz w:val="18"/>
                <w:szCs w:val="18"/>
                <w:lang w:val="en-US"/>
              </w:rPr>
            </w:pPr>
            <w:r w:rsidRPr="009F4271">
              <w:rPr>
                <w:rFonts w:ascii="Arial" w:hAnsi="Arial" w:cs="Arial"/>
                <w:sz w:val="18"/>
                <w:szCs w:val="18"/>
                <w:lang w:val="en-US"/>
              </w:rPr>
              <w:t xml:space="preserve">N </w:t>
            </w:r>
            <w:r w:rsidRPr="009F4271">
              <w:rPr>
                <w:rFonts w:ascii="Arial" w:hAnsi="Arial" w:cs="Arial"/>
                <w:b w:val="0"/>
                <w:sz w:val="18"/>
                <w:szCs w:val="18"/>
                <w:lang w:val="en-US"/>
              </w:rPr>
              <w:t>= new</w:t>
            </w:r>
          </w:p>
          <w:p w:rsidR="00D069DB" w:rsidRPr="009F4271" w:rsidRDefault="00D069DB" w:rsidP="00AE7236">
            <w:pPr>
              <w:pStyle w:val="agpsbold"/>
              <w:spacing w:before="60" w:after="60"/>
              <w:rPr>
                <w:rFonts w:ascii="Arial" w:hAnsi="Arial" w:cs="Arial"/>
                <w:sz w:val="18"/>
                <w:szCs w:val="18"/>
                <w:lang w:val="en-US"/>
              </w:rPr>
            </w:pPr>
            <w:r w:rsidRPr="009F4271">
              <w:rPr>
                <w:rFonts w:ascii="Arial" w:hAnsi="Arial" w:cs="Arial"/>
                <w:sz w:val="18"/>
                <w:szCs w:val="18"/>
                <w:lang w:val="en-US"/>
              </w:rPr>
              <w:t xml:space="preserve">A </w:t>
            </w:r>
            <w:r w:rsidRPr="009F4271">
              <w:rPr>
                <w:rFonts w:ascii="Arial" w:hAnsi="Arial" w:cs="Arial"/>
                <w:b w:val="0"/>
                <w:sz w:val="18"/>
                <w:szCs w:val="18"/>
                <w:lang w:val="en-US"/>
              </w:rPr>
              <w:t>= amendment</w:t>
            </w:r>
            <w:r>
              <w:rPr>
                <w:rFonts w:ascii="Arial" w:hAnsi="Arial" w:cs="Arial"/>
                <w:b w:val="0"/>
                <w:sz w:val="18"/>
                <w:szCs w:val="18"/>
                <w:lang w:val="en-US"/>
              </w:rPr>
              <w:t xml:space="preserve"> or addition</w:t>
            </w:r>
          </w:p>
        </w:tc>
        <w:tc>
          <w:tcPr>
            <w:tcW w:w="9248" w:type="dxa"/>
            <w:vAlign w:val="center"/>
          </w:tcPr>
          <w:p w:rsidR="00D069DB" w:rsidRPr="00D5746F" w:rsidRDefault="00D069DB" w:rsidP="00AE7236">
            <w:pPr>
              <w:pStyle w:val="agpsbold"/>
              <w:spacing w:before="60" w:after="60"/>
              <w:ind w:right="175"/>
              <w:rPr>
                <w:rFonts w:ascii="Arial" w:hAnsi="Arial" w:cs="Arial"/>
                <w:sz w:val="18"/>
                <w:szCs w:val="18"/>
                <w:lang w:val="en-US"/>
              </w:rPr>
            </w:pPr>
            <w:r w:rsidRPr="00D5746F">
              <w:rPr>
                <w:rFonts w:ascii="Arial" w:hAnsi="Arial" w:cs="Arial"/>
                <w:sz w:val="18"/>
                <w:szCs w:val="18"/>
                <w:lang w:val="en-US"/>
              </w:rPr>
              <w:t>Change or Addition</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33" w:anchor="ReClassGS" w:history="1">
              <w:r w:rsidR="0017224A" w:rsidRPr="00696DD7">
                <w:rPr>
                  <w:rStyle w:val="Hyperlink"/>
                  <w:rFonts w:ascii="Arial" w:hAnsi="Arial" w:cs="Arial"/>
                  <w:b w:val="0"/>
                  <w:sz w:val="18"/>
                  <w:szCs w:val="18"/>
                </w:rPr>
                <w:t>45 – Reclassification of Positions (General Staff Employees)</w:t>
              </w:r>
            </w:hyperlink>
          </w:p>
        </w:tc>
        <w:tc>
          <w:tcPr>
            <w:tcW w:w="1692" w:type="dxa"/>
          </w:tcPr>
          <w:p w:rsidR="0017224A" w:rsidRPr="009F4271" w:rsidRDefault="00694ED7"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76"/>
              <w:rPr>
                <w:rFonts w:ascii="Arial" w:hAnsi="Arial" w:cs="Arial"/>
                <w:b w:val="0"/>
                <w:sz w:val="18"/>
                <w:szCs w:val="18"/>
                <w:lang w:val="en-US"/>
              </w:rPr>
            </w:pPr>
            <w:r>
              <w:rPr>
                <w:rFonts w:ascii="Arial" w:hAnsi="Arial" w:cs="Arial"/>
                <w:b w:val="0"/>
                <w:sz w:val="18"/>
                <w:szCs w:val="18"/>
                <w:lang w:val="en-US"/>
              </w:rPr>
              <w:t>Changes include:</w:t>
            </w:r>
          </w:p>
          <w:p w:rsidR="0017224A" w:rsidRDefault="0017224A" w:rsidP="00876DC6">
            <w:pPr>
              <w:pStyle w:val="agpsbold"/>
              <w:spacing w:before="60" w:after="60"/>
              <w:ind w:right="176"/>
              <w:rPr>
                <w:rFonts w:ascii="Arial" w:hAnsi="Arial" w:cs="Arial"/>
                <w:b w:val="0"/>
                <w:sz w:val="18"/>
                <w:szCs w:val="18"/>
                <w:lang w:val="en-US"/>
              </w:rPr>
            </w:pPr>
            <w:r>
              <w:rPr>
                <w:rFonts w:ascii="Arial" w:hAnsi="Arial" w:cs="Arial"/>
                <w:b w:val="0"/>
                <w:sz w:val="18"/>
                <w:szCs w:val="18"/>
                <w:lang w:val="en-US"/>
              </w:rPr>
              <w:t>Committee members must be trained in objective work value assessment and must not be an immediate supervisor or team member within the work unit of the position being considered.</w:t>
            </w:r>
          </w:p>
          <w:p w:rsidR="0017224A" w:rsidRDefault="0017224A" w:rsidP="00876DC6">
            <w:pPr>
              <w:pStyle w:val="agpsbold"/>
              <w:spacing w:before="60" w:after="60"/>
              <w:ind w:right="176"/>
              <w:rPr>
                <w:rFonts w:ascii="Arial" w:hAnsi="Arial" w:cs="Arial"/>
                <w:b w:val="0"/>
                <w:sz w:val="18"/>
                <w:szCs w:val="18"/>
                <w:lang w:val="en-US"/>
              </w:rPr>
            </w:pPr>
            <w:r>
              <w:rPr>
                <w:rFonts w:ascii="Arial" w:hAnsi="Arial" w:cs="Arial"/>
                <w:b w:val="0"/>
                <w:sz w:val="18"/>
                <w:szCs w:val="18"/>
                <w:lang w:val="en-US"/>
              </w:rPr>
              <w:t>Reclassification Committee meetings to occur bi-monthly</w:t>
            </w:r>
            <w:r w:rsidR="008157DB">
              <w:rPr>
                <w:rFonts w:ascii="Arial" w:hAnsi="Arial" w:cs="Arial"/>
                <w:b w:val="0"/>
                <w:sz w:val="18"/>
                <w:szCs w:val="18"/>
                <w:lang w:val="en-US"/>
              </w:rPr>
              <w:t>.</w:t>
            </w:r>
          </w:p>
          <w:p w:rsidR="0017224A" w:rsidRDefault="0017224A" w:rsidP="00876DC6">
            <w:pPr>
              <w:pStyle w:val="agpsbold"/>
              <w:spacing w:before="60" w:after="60"/>
              <w:ind w:right="176"/>
              <w:rPr>
                <w:rFonts w:ascii="Arial" w:hAnsi="Arial" w:cs="Arial"/>
                <w:b w:val="0"/>
                <w:sz w:val="18"/>
                <w:szCs w:val="18"/>
                <w:lang w:val="en-US"/>
              </w:rPr>
            </w:pPr>
            <w:r>
              <w:rPr>
                <w:rFonts w:ascii="Arial" w:hAnsi="Arial" w:cs="Arial"/>
                <w:b w:val="0"/>
                <w:sz w:val="18"/>
                <w:szCs w:val="18"/>
                <w:lang w:val="en-US"/>
              </w:rPr>
              <w:t>Research positions shall be classified on basis of duties required, not grant funds received or applied for.</w:t>
            </w:r>
          </w:p>
          <w:p w:rsidR="0017224A" w:rsidRDefault="0017224A" w:rsidP="00876DC6">
            <w:pPr>
              <w:pStyle w:val="agpsbold"/>
              <w:spacing w:before="60" w:after="60"/>
              <w:ind w:right="176"/>
              <w:rPr>
                <w:rFonts w:ascii="Arial" w:hAnsi="Arial" w:cs="Arial"/>
                <w:b w:val="0"/>
                <w:sz w:val="18"/>
                <w:szCs w:val="18"/>
                <w:lang w:val="en-US"/>
              </w:rPr>
            </w:pPr>
            <w:r>
              <w:rPr>
                <w:rFonts w:ascii="Arial" w:hAnsi="Arial" w:cs="Arial"/>
                <w:b w:val="0"/>
                <w:sz w:val="18"/>
                <w:szCs w:val="18"/>
                <w:lang w:val="en-US"/>
              </w:rPr>
              <w:t>Training or undertaking duties as part of a Reclassification Committee will be recognized as work and adequate time release shall be provided.</w:t>
            </w:r>
          </w:p>
          <w:p w:rsidR="0017224A" w:rsidRPr="004348E8" w:rsidRDefault="0017224A" w:rsidP="00876DC6">
            <w:pPr>
              <w:pStyle w:val="agpsbold"/>
              <w:spacing w:before="60" w:after="120"/>
              <w:ind w:right="176"/>
              <w:rPr>
                <w:rFonts w:ascii="Arial" w:hAnsi="Arial" w:cs="Arial"/>
                <w:b w:val="0"/>
                <w:sz w:val="18"/>
                <w:szCs w:val="18"/>
                <w:lang w:val="en-US"/>
              </w:rPr>
            </w:pPr>
            <w:r>
              <w:rPr>
                <w:rFonts w:ascii="Arial" w:hAnsi="Arial" w:cs="Arial"/>
                <w:b w:val="0"/>
                <w:sz w:val="18"/>
                <w:szCs w:val="18"/>
                <w:lang w:val="en-US"/>
              </w:rPr>
              <w:t>Majority decisions will prevail however minority reports will be considered as part of the Vice-Chancellor’s approval or non-approval deliberations.</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34" w:anchor="ClassNewGS" w:history="1">
              <w:r w:rsidR="0017224A" w:rsidRPr="00696DD7">
                <w:rPr>
                  <w:rStyle w:val="Hyperlink"/>
                  <w:rFonts w:ascii="Arial" w:hAnsi="Arial" w:cs="Arial"/>
                  <w:b w:val="0"/>
                  <w:sz w:val="18"/>
                  <w:szCs w:val="18"/>
                </w:rPr>
                <w:t>47 – Classification of New General Staff Positions</w:t>
              </w:r>
            </w:hyperlink>
          </w:p>
        </w:tc>
        <w:tc>
          <w:tcPr>
            <w:tcW w:w="1692" w:type="dxa"/>
          </w:tcPr>
          <w:p w:rsidR="0017224A" w:rsidRPr="009F4271" w:rsidRDefault="00636B2C"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Pr="004348E8" w:rsidRDefault="0017224A" w:rsidP="00876DC6">
            <w:pPr>
              <w:pStyle w:val="agpsbold"/>
              <w:spacing w:before="60" w:after="60"/>
              <w:ind w:right="139"/>
              <w:rPr>
                <w:rFonts w:ascii="Arial" w:hAnsi="Arial" w:cs="Arial"/>
                <w:b w:val="0"/>
                <w:sz w:val="18"/>
                <w:szCs w:val="18"/>
                <w:lang w:val="en-US"/>
              </w:rPr>
            </w:pPr>
            <w:r w:rsidRPr="00CF557C">
              <w:rPr>
                <w:rFonts w:ascii="Arial" w:hAnsi="Arial" w:cs="Arial"/>
                <w:b w:val="0"/>
                <w:sz w:val="18"/>
                <w:szCs w:val="18"/>
                <w:lang w:val="en-US"/>
              </w:rPr>
              <w:t>For vacant positions from HEW 1 to HEW 8 that are either new or have significantly changed and have an appointment period of longer than 12 months, the HEW classification will be determined by a Classification Committee (New Positions) prior to advertising</w:t>
            </w:r>
            <w:r w:rsidR="008157DB">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35" w:anchor="ALLoading" w:history="1">
              <w:r w:rsidR="0017224A" w:rsidRPr="00696DD7">
                <w:rPr>
                  <w:rStyle w:val="Hyperlink"/>
                  <w:rFonts w:ascii="Arial" w:hAnsi="Arial" w:cs="Arial"/>
                  <w:b w:val="0"/>
                  <w:sz w:val="18"/>
                  <w:szCs w:val="18"/>
                </w:rPr>
                <w:t>49 – Annual Leave Loading</w:t>
              </w:r>
            </w:hyperlink>
          </w:p>
        </w:tc>
        <w:tc>
          <w:tcPr>
            <w:tcW w:w="1692" w:type="dxa"/>
          </w:tcPr>
          <w:p w:rsidR="0017224A" w:rsidRPr="009F4271" w:rsidRDefault="00636B2C"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Pr="004348E8"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New Provision in clause 49.2 – ability to exchange annual leave loading payment for additional leave</w:t>
            </w:r>
            <w:r w:rsidR="008157DB">
              <w:rPr>
                <w:rFonts w:ascii="Arial" w:hAnsi="Arial" w:cs="Arial"/>
                <w:b w:val="0"/>
                <w:sz w:val="18"/>
                <w:szCs w:val="18"/>
                <w:lang w:val="en-US"/>
              </w:rPr>
              <w:t>.</w:t>
            </w:r>
          </w:p>
        </w:tc>
      </w:tr>
      <w:tr w:rsidR="0017224A" w:rsidRPr="004348E8" w:rsidTr="00876DC6">
        <w:tc>
          <w:tcPr>
            <w:tcW w:w="3908" w:type="dxa"/>
          </w:tcPr>
          <w:p w:rsidR="00C1129A" w:rsidRDefault="00A46FFF" w:rsidP="00876DC6">
            <w:pPr>
              <w:pStyle w:val="agpsbold"/>
              <w:spacing w:before="60" w:after="60"/>
              <w:ind w:left="34"/>
              <w:rPr>
                <w:rFonts w:ascii="Arial" w:hAnsi="Arial" w:cs="Arial"/>
                <w:b w:val="0"/>
                <w:sz w:val="18"/>
                <w:szCs w:val="18"/>
              </w:rPr>
            </w:pPr>
            <w:hyperlink r:id="rId36" w:anchor="PersLeave" w:history="1">
              <w:r w:rsidR="0017224A" w:rsidRPr="00696DD7">
                <w:rPr>
                  <w:rStyle w:val="Hyperlink"/>
                  <w:rFonts w:ascii="Arial" w:hAnsi="Arial" w:cs="Arial"/>
                  <w:b w:val="0"/>
                  <w:sz w:val="18"/>
                  <w:szCs w:val="18"/>
                </w:rPr>
                <w:t xml:space="preserve">50 </w:t>
              </w:r>
              <w:r w:rsidR="00C1129A" w:rsidRPr="00696DD7">
                <w:rPr>
                  <w:rStyle w:val="Hyperlink"/>
                  <w:rFonts w:ascii="Arial" w:hAnsi="Arial" w:cs="Arial"/>
                  <w:b w:val="0"/>
                  <w:sz w:val="18"/>
                  <w:szCs w:val="18"/>
                  <w:lang w:val="en-US"/>
                </w:rPr>
                <w:t>–</w:t>
              </w:r>
              <w:r w:rsidR="0017224A" w:rsidRPr="00696DD7">
                <w:rPr>
                  <w:rStyle w:val="Hyperlink"/>
                  <w:rFonts w:ascii="Arial" w:hAnsi="Arial" w:cs="Arial"/>
                  <w:b w:val="0"/>
                  <w:sz w:val="18"/>
                  <w:szCs w:val="18"/>
                </w:rPr>
                <w:t xml:space="preserve"> Personal Leave</w:t>
              </w:r>
            </w:hyperlink>
          </w:p>
        </w:tc>
        <w:tc>
          <w:tcPr>
            <w:tcW w:w="1692" w:type="dxa"/>
          </w:tcPr>
          <w:p w:rsidR="0017224A" w:rsidRPr="009F4271" w:rsidRDefault="00636B2C"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 xml:space="preserve">New clause replacing former Sick Leave and Carer’s provisions and also aspects of former Additional Leave provisions (note aspects of Additional Leave are also incorporated into other Leave clauses).  </w:t>
            </w:r>
          </w:p>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Annual entitlement of 15 days Personal Leave with an additional five days additional leave per year (specified in clause 50.3.3 as non-cumulative).</w:t>
            </w:r>
          </w:p>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There is no limitation on how much Personal Leave can be used for a particular type of approved absence.</w:t>
            </w:r>
          </w:p>
          <w:p w:rsidR="0017224A" w:rsidRPr="00B0224B" w:rsidRDefault="0017224A" w:rsidP="00876DC6">
            <w:pPr>
              <w:tabs>
                <w:tab w:val="left" w:pos="567"/>
              </w:tabs>
              <w:autoSpaceDE w:val="0"/>
              <w:autoSpaceDN w:val="0"/>
              <w:adjustRightInd w:val="0"/>
              <w:spacing w:after="120" w:line="240" w:lineRule="auto"/>
              <w:ind w:right="139"/>
              <w:rPr>
                <w:rFonts w:ascii="Arial" w:hAnsi="Arial" w:cs="Arial"/>
                <w:sz w:val="18"/>
                <w:szCs w:val="18"/>
              </w:rPr>
            </w:pPr>
            <w:r w:rsidRPr="00B0224B">
              <w:rPr>
                <w:rFonts w:ascii="Arial" w:hAnsi="Arial" w:cs="Arial"/>
                <w:sz w:val="18"/>
                <w:szCs w:val="18"/>
              </w:rPr>
              <w:t>An employee may take personal leave for any of the following absences:</w:t>
            </w:r>
          </w:p>
          <w:p w:rsidR="0017224A" w:rsidRPr="00B0224B" w:rsidRDefault="0017224A" w:rsidP="00876DC6">
            <w:pPr>
              <w:pStyle w:val="ListParagraph"/>
              <w:numPr>
                <w:ilvl w:val="0"/>
                <w:numId w:val="12"/>
              </w:numPr>
              <w:tabs>
                <w:tab w:val="left" w:pos="567"/>
              </w:tabs>
              <w:autoSpaceDE w:val="0"/>
              <w:autoSpaceDN w:val="0"/>
              <w:adjustRightInd w:val="0"/>
              <w:spacing w:after="120" w:line="240" w:lineRule="auto"/>
              <w:ind w:left="388" w:right="139" w:hanging="388"/>
              <w:contextualSpacing w:val="0"/>
              <w:rPr>
                <w:rFonts w:ascii="Arial" w:hAnsi="Arial" w:cs="Arial"/>
                <w:sz w:val="18"/>
                <w:szCs w:val="18"/>
              </w:rPr>
            </w:pPr>
            <w:r w:rsidRPr="00B0224B">
              <w:rPr>
                <w:rFonts w:ascii="Arial" w:hAnsi="Arial" w:cs="Arial"/>
                <w:sz w:val="18"/>
                <w:szCs w:val="18"/>
              </w:rPr>
              <w:t>where the employee is unfit for work due to personal illness or injury;</w:t>
            </w:r>
          </w:p>
          <w:p w:rsidR="0017224A" w:rsidRPr="00B0224B" w:rsidRDefault="0017224A" w:rsidP="00876DC6">
            <w:pPr>
              <w:pStyle w:val="ListParagraph"/>
              <w:numPr>
                <w:ilvl w:val="0"/>
                <w:numId w:val="12"/>
              </w:numPr>
              <w:tabs>
                <w:tab w:val="left" w:pos="567"/>
              </w:tabs>
              <w:autoSpaceDE w:val="0"/>
              <w:autoSpaceDN w:val="0"/>
              <w:adjustRightInd w:val="0"/>
              <w:spacing w:after="120" w:line="240" w:lineRule="auto"/>
              <w:ind w:left="388" w:right="139" w:hanging="388"/>
              <w:contextualSpacing w:val="0"/>
              <w:rPr>
                <w:rFonts w:ascii="Arial" w:hAnsi="Arial" w:cs="Arial"/>
                <w:sz w:val="18"/>
                <w:szCs w:val="18"/>
              </w:rPr>
            </w:pPr>
            <w:r w:rsidRPr="00B0224B">
              <w:rPr>
                <w:rFonts w:ascii="Arial" w:hAnsi="Arial" w:cs="Arial"/>
                <w:sz w:val="18"/>
                <w:szCs w:val="18"/>
              </w:rPr>
              <w:t>to attend an appointment with a registered health practitioner;</w:t>
            </w:r>
          </w:p>
          <w:p w:rsidR="0017224A" w:rsidRPr="00B0224B" w:rsidRDefault="0017224A" w:rsidP="00876DC6">
            <w:pPr>
              <w:pStyle w:val="ListParagraph"/>
              <w:numPr>
                <w:ilvl w:val="0"/>
                <w:numId w:val="12"/>
              </w:numPr>
              <w:autoSpaceDE w:val="0"/>
              <w:autoSpaceDN w:val="0"/>
              <w:adjustRightInd w:val="0"/>
              <w:spacing w:after="120" w:line="240" w:lineRule="auto"/>
              <w:ind w:left="388" w:right="139" w:hanging="388"/>
              <w:contextualSpacing w:val="0"/>
              <w:rPr>
                <w:rFonts w:ascii="Arial" w:hAnsi="Arial" w:cs="Arial"/>
                <w:sz w:val="18"/>
                <w:szCs w:val="18"/>
              </w:rPr>
            </w:pPr>
            <w:r w:rsidRPr="00B0224B">
              <w:rPr>
                <w:rFonts w:ascii="Arial" w:hAnsi="Arial" w:cs="Arial"/>
                <w:sz w:val="18"/>
                <w:szCs w:val="18"/>
              </w:rPr>
              <w:t>to provide a member of the employee’s immediate family or household with care or support due to personal illness or injury, or in relation to a personal emergency affecting such a person.  Prior to accessing personal leave for carer’s leave purposes an employee (other than a casual employee) can request and be granted up to five (5) days additional leave with pay in a twelve month period (for part-time employees, a pro-rata basis will apply). The five (5) days referred to in th</w:t>
            </w:r>
            <w:r w:rsidR="008157DB">
              <w:rPr>
                <w:rFonts w:ascii="Arial" w:hAnsi="Arial" w:cs="Arial"/>
                <w:sz w:val="18"/>
                <w:szCs w:val="18"/>
              </w:rPr>
              <w:t>is sub-clause is not cumulative;</w:t>
            </w:r>
          </w:p>
          <w:p w:rsidR="0017224A" w:rsidRPr="00B0224B" w:rsidRDefault="0017224A" w:rsidP="00876DC6">
            <w:pPr>
              <w:pStyle w:val="ListParagraph"/>
              <w:numPr>
                <w:ilvl w:val="0"/>
                <w:numId w:val="12"/>
              </w:numPr>
              <w:tabs>
                <w:tab w:val="left" w:pos="900"/>
              </w:tabs>
              <w:autoSpaceDE w:val="0"/>
              <w:autoSpaceDN w:val="0"/>
              <w:adjustRightInd w:val="0"/>
              <w:spacing w:after="120" w:line="240" w:lineRule="auto"/>
              <w:ind w:left="388" w:right="139" w:hanging="388"/>
              <w:contextualSpacing w:val="0"/>
              <w:rPr>
                <w:rFonts w:ascii="Arial" w:eastAsia="Calibri" w:hAnsi="Arial" w:cs="Arial"/>
                <w:sz w:val="18"/>
                <w:szCs w:val="18"/>
              </w:rPr>
            </w:pPr>
            <w:r w:rsidRPr="00B0224B">
              <w:rPr>
                <w:rFonts w:ascii="Arial" w:eastAsia="Calibri" w:hAnsi="Arial" w:cs="Arial"/>
                <w:sz w:val="18"/>
                <w:szCs w:val="18"/>
              </w:rPr>
              <w:t>to attend medical, therapeutic or business appointments of a close relative or friend (who is not covered by the definition of immediate family or household member) who is dependent on the employee for this particular appointment;</w:t>
            </w:r>
          </w:p>
          <w:p w:rsidR="0017224A" w:rsidRPr="00B0224B" w:rsidRDefault="0017224A" w:rsidP="00876DC6">
            <w:pPr>
              <w:pStyle w:val="ListParagraph"/>
              <w:numPr>
                <w:ilvl w:val="0"/>
                <w:numId w:val="12"/>
              </w:numPr>
              <w:autoSpaceDE w:val="0"/>
              <w:autoSpaceDN w:val="0"/>
              <w:adjustRightInd w:val="0"/>
              <w:spacing w:after="120" w:line="240" w:lineRule="auto"/>
              <w:ind w:left="388" w:right="139" w:hanging="388"/>
              <w:contextualSpacing w:val="0"/>
              <w:rPr>
                <w:rFonts w:ascii="Arial" w:eastAsia="Calibri" w:hAnsi="Arial" w:cs="Arial"/>
                <w:sz w:val="18"/>
                <w:szCs w:val="18"/>
              </w:rPr>
            </w:pPr>
            <w:r w:rsidRPr="00B0224B">
              <w:rPr>
                <w:rFonts w:ascii="Arial" w:eastAsia="Calibri" w:hAnsi="Arial" w:cs="Arial"/>
                <w:sz w:val="18"/>
                <w:szCs w:val="18"/>
              </w:rPr>
              <w:lastRenderedPageBreak/>
              <w:t xml:space="preserve">where a supervisor is of the opinion that a problem is adversely affecting an employee’s work performance, such as stress, alcohol or drug dependence, or compulsive gambling, personal leave may be granted to attend an </w:t>
            </w:r>
            <w:r w:rsidR="008157DB">
              <w:rPr>
                <w:rFonts w:ascii="Arial" w:eastAsia="Calibri" w:hAnsi="Arial" w:cs="Arial"/>
                <w:sz w:val="18"/>
                <w:szCs w:val="18"/>
              </w:rPr>
              <w:t>approved rehabilitation program; or</w:t>
            </w:r>
          </w:p>
          <w:p w:rsidR="0017224A" w:rsidRPr="004348E8" w:rsidRDefault="0017224A" w:rsidP="00876DC6">
            <w:pPr>
              <w:pStyle w:val="ListParagraph"/>
              <w:numPr>
                <w:ilvl w:val="0"/>
                <w:numId w:val="12"/>
              </w:numPr>
              <w:autoSpaceDE w:val="0"/>
              <w:autoSpaceDN w:val="0"/>
              <w:adjustRightInd w:val="0"/>
              <w:spacing w:after="120" w:line="240" w:lineRule="auto"/>
              <w:ind w:left="388" w:right="139" w:hanging="388"/>
              <w:contextualSpacing w:val="0"/>
              <w:rPr>
                <w:rFonts w:ascii="Arial" w:hAnsi="Arial" w:cs="Arial"/>
                <w:b/>
                <w:sz w:val="18"/>
                <w:szCs w:val="18"/>
                <w:lang w:val="en-US"/>
              </w:rPr>
            </w:pPr>
            <w:r w:rsidRPr="00B0224B">
              <w:rPr>
                <w:rFonts w:ascii="Arial" w:eastAsia="Calibri" w:hAnsi="Arial" w:cs="Arial"/>
                <w:sz w:val="18"/>
                <w:szCs w:val="18"/>
              </w:rPr>
              <w:t>where a supervisor is of the opinion that a problem is adversely affecting an employee’s work performance, such as marriage/family matters, domestic violence, personal leave may be granted to attend to such matters.</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37" w:anchor="ParentalLeave" w:history="1">
              <w:r w:rsidR="0017224A" w:rsidRPr="00696DD7">
                <w:rPr>
                  <w:rStyle w:val="Hyperlink"/>
                  <w:rFonts w:ascii="Arial" w:hAnsi="Arial" w:cs="Arial"/>
                  <w:b w:val="0"/>
                  <w:sz w:val="18"/>
                  <w:szCs w:val="18"/>
                </w:rPr>
                <w:t>52 – Parental Leave</w:t>
              </w:r>
            </w:hyperlink>
          </w:p>
        </w:tc>
        <w:tc>
          <w:tcPr>
            <w:tcW w:w="1692" w:type="dxa"/>
          </w:tcPr>
          <w:p w:rsidR="0017224A" w:rsidRPr="009F4271" w:rsidRDefault="00636B2C"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Maintains existing provisions however the r</w:t>
            </w:r>
            <w:r w:rsidRPr="000C70EB">
              <w:rPr>
                <w:rFonts w:ascii="Arial" w:hAnsi="Arial" w:cs="Arial"/>
                <w:b w:val="0"/>
                <w:sz w:val="18"/>
                <w:szCs w:val="18"/>
                <w:lang w:val="en-US"/>
              </w:rPr>
              <w:t>eturn-to-work bonus repayable on pro-rata basis where employee ceases employment after less than 12 months from return to work date</w:t>
            </w:r>
            <w:r w:rsidR="008157DB">
              <w:rPr>
                <w:rFonts w:ascii="Arial" w:hAnsi="Arial" w:cs="Arial"/>
                <w:b w:val="0"/>
                <w:sz w:val="18"/>
                <w:szCs w:val="18"/>
                <w:lang w:val="en-US"/>
              </w:rPr>
              <w:t>:</w:t>
            </w:r>
          </w:p>
          <w:p w:rsidR="0017224A" w:rsidRPr="000C70EB" w:rsidRDefault="0017224A" w:rsidP="00876DC6">
            <w:pPr>
              <w:pStyle w:val="agpsbold"/>
              <w:numPr>
                <w:ilvl w:val="0"/>
                <w:numId w:val="7"/>
              </w:numPr>
              <w:spacing w:before="60" w:after="60"/>
              <w:ind w:left="388" w:right="139" w:hanging="388"/>
              <w:rPr>
                <w:rFonts w:ascii="Arial" w:hAnsi="Arial" w:cs="Arial"/>
                <w:b w:val="0"/>
                <w:sz w:val="18"/>
                <w:szCs w:val="18"/>
                <w:lang w:val="en-US"/>
              </w:rPr>
            </w:pPr>
            <w:r w:rsidRPr="000C70EB">
              <w:rPr>
                <w:rFonts w:ascii="Arial" w:hAnsi="Arial" w:cs="Arial"/>
                <w:b w:val="0"/>
                <w:sz w:val="18"/>
                <w:szCs w:val="18"/>
                <w:lang w:val="en-US"/>
              </w:rPr>
              <w:t>Inclusion of entitlements for Permanent Care Leave</w:t>
            </w:r>
            <w:r w:rsidR="008157DB">
              <w:rPr>
                <w:rFonts w:ascii="Arial" w:hAnsi="Arial" w:cs="Arial"/>
                <w:b w:val="0"/>
                <w:sz w:val="18"/>
                <w:szCs w:val="18"/>
                <w:lang w:val="en-US"/>
              </w:rPr>
              <w:t>.</w:t>
            </w:r>
          </w:p>
          <w:p w:rsidR="0017224A" w:rsidRPr="000C70EB" w:rsidRDefault="0017224A" w:rsidP="00876DC6">
            <w:pPr>
              <w:pStyle w:val="agpsbold"/>
              <w:numPr>
                <w:ilvl w:val="0"/>
                <w:numId w:val="6"/>
              </w:numPr>
              <w:spacing w:before="60" w:after="60"/>
              <w:ind w:left="388" w:right="139" w:hanging="388"/>
              <w:rPr>
                <w:rFonts w:ascii="Arial" w:hAnsi="Arial" w:cs="Arial"/>
                <w:b w:val="0"/>
                <w:sz w:val="18"/>
                <w:szCs w:val="18"/>
                <w:lang w:val="en-US"/>
              </w:rPr>
            </w:pPr>
            <w:r w:rsidRPr="000C70EB">
              <w:rPr>
                <w:rFonts w:ascii="Arial" w:hAnsi="Arial" w:cs="Arial"/>
                <w:b w:val="0"/>
                <w:sz w:val="18"/>
                <w:szCs w:val="18"/>
                <w:lang w:val="en-US"/>
              </w:rPr>
              <w:t>Pro-rata paid leave entitlement increased where employee has less than 12 months service upon commencement of leave</w:t>
            </w:r>
            <w:r w:rsidR="008157DB">
              <w:rPr>
                <w:rFonts w:ascii="Arial" w:hAnsi="Arial" w:cs="Arial"/>
                <w:b w:val="0"/>
                <w:sz w:val="18"/>
                <w:szCs w:val="18"/>
                <w:lang w:val="en-US"/>
              </w:rPr>
              <w:t>.</w:t>
            </w:r>
          </w:p>
          <w:p w:rsidR="0017224A" w:rsidRPr="004348E8" w:rsidRDefault="0017224A" w:rsidP="00876DC6">
            <w:pPr>
              <w:pStyle w:val="agpsbold"/>
              <w:numPr>
                <w:ilvl w:val="0"/>
                <w:numId w:val="6"/>
              </w:numPr>
              <w:spacing w:before="60" w:after="60"/>
              <w:ind w:left="388" w:right="139" w:hanging="388"/>
              <w:rPr>
                <w:rFonts w:ascii="Arial" w:hAnsi="Arial" w:cs="Arial"/>
                <w:b w:val="0"/>
                <w:sz w:val="18"/>
                <w:szCs w:val="18"/>
                <w:lang w:val="en-US"/>
              </w:rPr>
            </w:pPr>
            <w:r w:rsidRPr="000C70EB">
              <w:rPr>
                <w:rFonts w:ascii="Arial" w:hAnsi="Arial" w:cs="Arial"/>
                <w:b w:val="0"/>
                <w:sz w:val="18"/>
                <w:szCs w:val="18"/>
                <w:lang w:val="en-US"/>
              </w:rPr>
              <w:t>Inclusion of provisions relating to Australian Government’s Dad and Partner Pay</w:t>
            </w:r>
            <w:r w:rsidR="008157DB">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38" w:anchor="CulturalLeave" w:history="1">
              <w:r w:rsidR="0017224A" w:rsidRPr="00696DD7">
                <w:rPr>
                  <w:rStyle w:val="Hyperlink"/>
                  <w:rFonts w:ascii="Arial" w:hAnsi="Arial" w:cs="Arial"/>
                  <w:b w:val="0"/>
                  <w:sz w:val="18"/>
                  <w:szCs w:val="18"/>
                </w:rPr>
                <w:t>53 – Cultural and Ceremonial Leave</w:t>
              </w:r>
            </w:hyperlink>
          </w:p>
        </w:tc>
        <w:tc>
          <w:tcPr>
            <w:tcW w:w="1692" w:type="dxa"/>
          </w:tcPr>
          <w:p w:rsidR="0017224A" w:rsidRPr="009F4271" w:rsidRDefault="00636B2C"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Pr="00A8514F" w:rsidRDefault="0017224A" w:rsidP="00876DC6">
            <w:pPr>
              <w:pStyle w:val="agpsbold"/>
              <w:spacing w:before="60" w:after="60"/>
              <w:ind w:right="139"/>
              <w:rPr>
                <w:rFonts w:ascii="Arial" w:hAnsi="Arial" w:cs="Arial"/>
                <w:b w:val="0"/>
                <w:sz w:val="18"/>
                <w:szCs w:val="18"/>
                <w:lang w:val="en-US"/>
              </w:rPr>
            </w:pPr>
            <w:r w:rsidRPr="00A8514F">
              <w:rPr>
                <w:rFonts w:ascii="Arial" w:hAnsi="Arial" w:cs="Arial"/>
                <w:b w:val="0"/>
                <w:sz w:val="18"/>
                <w:szCs w:val="18"/>
                <w:lang w:val="en-US"/>
              </w:rPr>
              <w:t>New clause that replaces aspects previously part of Additional Leave</w:t>
            </w:r>
            <w:r w:rsidR="008157DB">
              <w:rPr>
                <w:rFonts w:ascii="Arial" w:hAnsi="Arial" w:cs="Arial"/>
                <w:b w:val="0"/>
                <w:sz w:val="18"/>
                <w:szCs w:val="18"/>
                <w:lang w:val="en-US"/>
              </w:rPr>
              <w:t>:</w:t>
            </w:r>
          </w:p>
          <w:p w:rsidR="0017224A" w:rsidRPr="00A8514F" w:rsidRDefault="0017224A" w:rsidP="00876DC6">
            <w:pPr>
              <w:pStyle w:val="agpsbold"/>
              <w:numPr>
                <w:ilvl w:val="0"/>
                <w:numId w:val="8"/>
              </w:numPr>
              <w:spacing w:before="60" w:after="60"/>
              <w:ind w:left="388" w:right="139" w:hanging="388"/>
              <w:rPr>
                <w:rFonts w:ascii="Arial" w:hAnsi="Arial" w:cs="Arial"/>
                <w:b w:val="0"/>
                <w:sz w:val="18"/>
                <w:szCs w:val="18"/>
                <w:lang w:val="en-US"/>
              </w:rPr>
            </w:pPr>
            <w:r w:rsidRPr="00A8514F">
              <w:rPr>
                <w:rFonts w:ascii="Arial" w:hAnsi="Arial" w:cs="Arial"/>
                <w:b w:val="0"/>
                <w:sz w:val="18"/>
                <w:szCs w:val="18"/>
                <w:lang w:val="en-US"/>
              </w:rPr>
              <w:t>Three days paid leave plus two extra days may be drawn from Personal Leave entitlement per year</w:t>
            </w:r>
            <w:r w:rsidR="008157DB">
              <w:rPr>
                <w:rFonts w:ascii="Arial" w:hAnsi="Arial" w:cs="Arial"/>
                <w:b w:val="0"/>
                <w:sz w:val="18"/>
                <w:szCs w:val="18"/>
                <w:lang w:val="en-US"/>
              </w:rPr>
              <w:t>.</w:t>
            </w:r>
          </w:p>
          <w:p w:rsidR="0017224A" w:rsidRPr="00A8514F" w:rsidRDefault="0017224A" w:rsidP="00876DC6">
            <w:pPr>
              <w:pStyle w:val="agpsbold"/>
              <w:numPr>
                <w:ilvl w:val="0"/>
                <w:numId w:val="8"/>
              </w:numPr>
              <w:spacing w:before="60" w:after="60"/>
              <w:ind w:left="388" w:right="139" w:hanging="388"/>
              <w:rPr>
                <w:rFonts w:ascii="Arial" w:hAnsi="Arial" w:cs="Arial"/>
                <w:b w:val="0"/>
                <w:sz w:val="18"/>
                <w:szCs w:val="18"/>
                <w:lang w:val="en-US"/>
              </w:rPr>
            </w:pPr>
            <w:r w:rsidRPr="00A8514F">
              <w:rPr>
                <w:rFonts w:ascii="Arial" w:hAnsi="Arial" w:cs="Arial"/>
                <w:b w:val="0"/>
                <w:sz w:val="18"/>
                <w:szCs w:val="18"/>
                <w:lang w:val="en-US"/>
              </w:rPr>
              <w:t>Aboriginal and Torres Strait Islander cultural and ceremonial leave – may include initiation, birthing and naming, funerals (in cases where ‘immediate family’ definition is not met), NAIDOC etc.</w:t>
            </w:r>
          </w:p>
          <w:p w:rsidR="0017224A" w:rsidRPr="004348E8" w:rsidRDefault="0017224A" w:rsidP="00876DC6">
            <w:pPr>
              <w:pStyle w:val="agpsbold"/>
              <w:numPr>
                <w:ilvl w:val="0"/>
                <w:numId w:val="8"/>
              </w:numPr>
              <w:spacing w:before="60" w:after="60"/>
              <w:ind w:left="388" w:right="139" w:hanging="388"/>
              <w:rPr>
                <w:rFonts w:ascii="Arial" w:hAnsi="Arial" w:cs="Arial"/>
                <w:b w:val="0"/>
                <w:sz w:val="18"/>
                <w:szCs w:val="18"/>
                <w:lang w:val="en-US"/>
              </w:rPr>
            </w:pPr>
            <w:r w:rsidRPr="00A8514F">
              <w:rPr>
                <w:rFonts w:ascii="Arial" w:hAnsi="Arial" w:cs="Arial"/>
                <w:b w:val="0"/>
                <w:sz w:val="18"/>
                <w:szCs w:val="18"/>
                <w:lang w:val="en-US"/>
              </w:rPr>
              <w:t>Leave for other cultural and ceremonial reasons also available</w:t>
            </w:r>
            <w:r w:rsidR="008157DB">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jc w:val="both"/>
              <w:rPr>
                <w:rFonts w:ascii="Arial" w:hAnsi="Arial" w:cs="Arial"/>
                <w:b w:val="0"/>
                <w:sz w:val="18"/>
                <w:szCs w:val="18"/>
              </w:rPr>
            </w:pPr>
            <w:hyperlink r:id="rId39" w:anchor="CompassLeave" w:history="1">
              <w:r w:rsidR="0017224A" w:rsidRPr="00696DD7">
                <w:rPr>
                  <w:rStyle w:val="Hyperlink"/>
                  <w:rFonts w:ascii="Arial" w:hAnsi="Arial" w:cs="Arial"/>
                  <w:b w:val="0"/>
                  <w:sz w:val="18"/>
                  <w:szCs w:val="18"/>
                </w:rPr>
                <w:t>54 – Compassionate Leave</w:t>
              </w:r>
            </w:hyperlink>
          </w:p>
        </w:tc>
        <w:tc>
          <w:tcPr>
            <w:tcW w:w="1692" w:type="dxa"/>
          </w:tcPr>
          <w:p w:rsidR="0017224A" w:rsidRPr="009F4271" w:rsidRDefault="00636B2C"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Increased entitlement f two to three days paid Compassionate Leave for each occasion plus an additional two days in circumstances specified in clause 54.2.</w:t>
            </w:r>
          </w:p>
          <w:p w:rsidR="0017224A" w:rsidRPr="004348E8"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Employees may add to the above leave by utilizing other forms of paid or unpaid leave.</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0" w:anchor="MiscLeave" w:history="1">
              <w:r w:rsidR="0017224A" w:rsidRPr="00696DD7">
                <w:rPr>
                  <w:rStyle w:val="Hyperlink"/>
                  <w:rFonts w:ascii="Arial" w:hAnsi="Arial" w:cs="Arial"/>
                  <w:b w:val="0"/>
                  <w:sz w:val="18"/>
                  <w:szCs w:val="18"/>
                </w:rPr>
                <w:t>55 – Miscellaneous and Other Leave</w:t>
              </w:r>
            </w:hyperlink>
          </w:p>
        </w:tc>
        <w:tc>
          <w:tcPr>
            <w:tcW w:w="1692" w:type="dxa"/>
          </w:tcPr>
          <w:p w:rsidR="0017224A" w:rsidRPr="009F4271" w:rsidRDefault="00636B2C"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sidRPr="000F4C7E">
              <w:rPr>
                <w:rFonts w:ascii="Arial" w:hAnsi="Arial" w:cs="Arial"/>
                <w:b w:val="0"/>
                <w:sz w:val="18"/>
                <w:szCs w:val="18"/>
                <w:lang w:val="en-US"/>
              </w:rPr>
              <w:t xml:space="preserve">Replaces aspects previously part of Additional Leave </w:t>
            </w:r>
          </w:p>
          <w:p w:rsidR="0017224A" w:rsidRPr="000F4C7E" w:rsidRDefault="0017224A" w:rsidP="00876DC6">
            <w:pPr>
              <w:pStyle w:val="agpsbold"/>
              <w:numPr>
                <w:ilvl w:val="0"/>
                <w:numId w:val="9"/>
              </w:numPr>
              <w:spacing w:before="60" w:after="60"/>
              <w:ind w:left="388" w:right="139" w:hanging="388"/>
              <w:rPr>
                <w:rFonts w:ascii="Arial" w:hAnsi="Arial" w:cs="Arial"/>
                <w:b w:val="0"/>
                <w:sz w:val="18"/>
                <w:szCs w:val="18"/>
                <w:lang w:val="en-US"/>
              </w:rPr>
            </w:pPr>
            <w:r w:rsidRPr="000F4C7E">
              <w:rPr>
                <w:rFonts w:ascii="Arial" w:hAnsi="Arial" w:cs="Arial"/>
                <w:b w:val="0"/>
                <w:sz w:val="18"/>
                <w:szCs w:val="18"/>
                <w:lang w:val="en-US"/>
              </w:rPr>
              <w:t>Includes Domestic Violence Leave - five days dedicated paid leave to attend appointments and legal proceedings, seek safe housing and other associated activities and access to further paid leave types, flexible working arrangements, change of work location, phone number, email address, alternate duties</w:t>
            </w:r>
          </w:p>
          <w:p w:rsidR="0017224A" w:rsidRPr="000F4C7E" w:rsidRDefault="0017224A" w:rsidP="00876DC6">
            <w:pPr>
              <w:pStyle w:val="agpsbold"/>
              <w:numPr>
                <w:ilvl w:val="0"/>
                <w:numId w:val="9"/>
              </w:numPr>
              <w:spacing w:before="60" w:after="60"/>
              <w:ind w:left="388" w:right="139" w:hanging="388"/>
              <w:rPr>
                <w:rFonts w:ascii="Arial" w:hAnsi="Arial" w:cs="Arial"/>
                <w:b w:val="0"/>
                <w:sz w:val="18"/>
                <w:szCs w:val="18"/>
                <w:lang w:val="en-US"/>
              </w:rPr>
            </w:pPr>
            <w:r w:rsidRPr="000F4C7E">
              <w:rPr>
                <w:rFonts w:ascii="Arial" w:hAnsi="Arial" w:cs="Arial"/>
                <w:b w:val="0"/>
                <w:sz w:val="18"/>
                <w:szCs w:val="18"/>
                <w:lang w:val="en-US"/>
              </w:rPr>
              <w:t>House Relocation Leave replaces former moving house entitlement</w:t>
            </w:r>
          </w:p>
          <w:p w:rsidR="0017224A" w:rsidRPr="004348E8" w:rsidRDefault="0017224A" w:rsidP="00876DC6">
            <w:pPr>
              <w:pStyle w:val="agpsbold"/>
              <w:numPr>
                <w:ilvl w:val="0"/>
                <w:numId w:val="9"/>
              </w:numPr>
              <w:spacing w:before="60" w:after="120"/>
              <w:ind w:left="388" w:right="139" w:hanging="388"/>
              <w:rPr>
                <w:rFonts w:ascii="Arial" w:hAnsi="Arial" w:cs="Arial"/>
                <w:b w:val="0"/>
                <w:sz w:val="18"/>
                <w:szCs w:val="18"/>
                <w:lang w:val="en-US"/>
              </w:rPr>
            </w:pPr>
            <w:r w:rsidRPr="000F4C7E">
              <w:rPr>
                <w:rFonts w:ascii="Arial" w:hAnsi="Arial" w:cs="Arial"/>
                <w:b w:val="0"/>
                <w:sz w:val="18"/>
                <w:szCs w:val="18"/>
                <w:lang w:val="en-US"/>
              </w:rPr>
              <w:t>Also includes Jury Service, ADF Reserve Leave, Emergency Assistance, Pupil-Free Days, Other Special Circumstances</w:t>
            </w:r>
            <w:r w:rsidR="008157DB">
              <w:rPr>
                <w:rFonts w:ascii="Arial" w:hAnsi="Arial" w:cs="Arial"/>
                <w:b w:val="0"/>
                <w:sz w:val="18"/>
                <w:szCs w:val="18"/>
                <w:lang w:val="en-US"/>
              </w:rPr>
              <w:t>.</w:t>
            </w:r>
          </w:p>
        </w:tc>
      </w:tr>
    </w:tbl>
    <w:p w:rsidR="00D069DB" w:rsidRDefault="00D069DB"/>
    <w:p w:rsidR="00D069DB" w:rsidRDefault="00D069DB">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692"/>
        <w:gridCol w:w="9248"/>
      </w:tblGrid>
      <w:tr w:rsidR="00D069DB" w:rsidRPr="004348E8" w:rsidTr="00AE7236">
        <w:trPr>
          <w:tblHeader/>
        </w:trPr>
        <w:tc>
          <w:tcPr>
            <w:tcW w:w="3908" w:type="dxa"/>
            <w:vAlign w:val="center"/>
          </w:tcPr>
          <w:p w:rsidR="00D069DB" w:rsidRPr="009F4271" w:rsidRDefault="00D069DB" w:rsidP="00AE7236">
            <w:pPr>
              <w:pStyle w:val="agpsbold"/>
              <w:spacing w:before="60" w:after="60"/>
              <w:ind w:left="34"/>
              <w:rPr>
                <w:rFonts w:ascii="Arial" w:hAnsi="Arial" w:cs="Arial"/>
                <w:sz w:val="18"/>
                <w:szCs w:val="18"/>
                <w:lang w:val="en-US"/>
              </w:rPr>
            </w:pPr>
            <w:r w:rsidRPr="009F4271">
              <w:rPr>
                <w:rFonts w:ascii="Arial" w:hAnsi="Arial" w:cs="Arial"/>
                <w:sz w:val="18"/>
                <w:szCs w:val="18"/>
                <w:lang w:val="en-US"/>
              </w:rPr>
              <w:lastRenderedPageBreak/>
              <w:t>Clause</w:t>
            </w:r>
          </w:p>
        </w:tc>
        <w:tc>
          <w:tcPr>
            <w:tcW w:w="1692" w:type="dxa"/>
            <w:vAlign w:val="center"/>
          </w:tcPr>
          <w:p w:rsidR="00D069DB" w:rsidRPr="009F4271" w:rsidRDefault="00D069DB" w:rsidP="00AE7236">
            <w:pPr>
              <w:pStyle w:val="agpsbold"/>
              <w:spacing w:before="60" w:after="60"/>
              <w:rPr>
                <w:rFonts w:ascii="Arial" w:hAnsi="Arial" w:cs="Arial"/>
                <w:sz w:val="18"/>
                <w:szCs w:val="18"/>
                <w:lang w:val="en-US"/>
              </w:rPr>
            </w:pPr>
            <w:r w:rsidRPr="009F4271">
              <w:rPr>
                <w:rFonts w:ascii="Arial" w:hAnsi="Arial" w:cs="Arial"/>
                <w:sz w:val="18"/>
                <w:szCs w:val="18"/>
                <w:lang w:val="en-US"/>
              </w:rPr>
              <w:t xml:space="preserve">N </w:t>
            </w:r>
            <w:r w:rsidRPr="009F4271">
              <w:rPr>
                <w:rFonts w:ascii="Arial" w:hAnsi="Arial" w:cs="Arial"/>
                <w:b w:val="0"/>
                <w:sz w:val="18"/>
                <w:szCs w:val="18"/>
                <w:lang w:val="en-US"/>
              </w:rPr>
              <w:t>= new</w:t>
            </w:r>
          </w:p>
          <w:p w:rsidR="00D069DB" w:rsidRPr="009F4271" w:rsidRDefault="00D069DB" w:rsidP="00AE7236">
            <w:pPr>
              <w:pStyle w:val="agpsbold"/>
              <w:spacing w:before="60" w:after="60"/>
              <w:rPr>
                <w:rFonts w:ascii="Arial" w:hAnsi="Arial" w:cs="Arial"/>
                <w:sz w:val="18"/>
                <w:szCs w:val="18"/>
                <w:lang w:val="en-US"/>
              </w:rPr>
            </w:pPr>
            <w:r w:rsidRPr="009F4271">
              <w:rPr>
                <w:rFonts w:ascii="Arial" w:hAnsi="Arial" w:cs="Arial"/>
                <w:sz w:val="18"/>
                <w:szCs w:val="18"/>
                <w:lang w:val="en-US"/>
              </w:rPr>
              <w:t xml:space="preserve">A </w:t>
            </w:r>
            <w:r w:rsidRPr="009F4271">
              <w:rPr>
                <w:rFonts w:ascii="Arial" w:hAnsi="Arial" w:cs="Arial"/>
                <w:b w:val="0"/>
                <w:sz w:val="18"/>
                <w:szCs w:val="18"/>
                <w:lang w:val="en-US"/>
              </w:rPr>
              <w:t>= amendment</w:t>
            </w:r>
            <w:r>
              <w:rPr>
                <w:rFonts w:ascii="Arial" w:hAnsi="Arial" w:cs="Arial"/>
                <w:b w:val="0"/>
                <w:sz w:val="18"/>
                <w:szCs w:val="18"/>
                <w:lang w:val="en-US"/>
              </w:rPr>
              <w:t xml:space="preserve"> or addition</w:t>
            </w:r>
          </w:p>
        </w:tc>
        <w:tc>
          <w:tcPr>
            <w:tcW w:w="9248" w:type="dxa"/>
            <w:vAlign w:val="center"/>
          </w:tcPr>
          <w:p w:rsidR="00D069DB" w:rsidRPr="00D5746F" w:rsidRDefault="00D069DB" w:rsidP="00AE7236">
            <w:pPr>
              <w:pStyle w:val="agpsbold"/>
              <w:spacing w:before="60" w:after="60"/>
              <w:ind w:right="175"/>
              <w:rPr>
                <w:rFonts w:ascii="Arial" w:hAnsi="Arial" w:cs="Arial"/>
                <w:sz w:val="18"/>
                <w:szCs w:val="18"/>
                <w:lang w:val="en-US"/>
              </w:rPr>
            </w:pPr>
            <w:r w:rsidRPr="00D5746F">
              <w:rPr>
                <w:rFonts w:ascii="Arial" w:hAnsi="Arial" w:cs="Arial"/>
                <w:sz w:val="18"/>
                <w:szCs w:val="18"/>
                <w:lang w:val="en-US"/>
              </w:rPr>
              <w:t>Change or Addition</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1" w:anchor="RecogPriorService" w:history="1">
              <w:r w:rsidR="0017224A" w:rsidRPr="00696DD7">
                <w:rPr>
                  <w:rStyle w:val="Hyperlink"/>
                  <w:rFonts w:ascii="Arial" w:hAnsi="Arial" w:cs="Arial"/>
                  <w:b w:val="0"/>
                  <w:sz w:val="18"/>
                  <w:szCs w:val="18"/>
                </w:rPr>
                <w:t>57 – Recognition of Prior Service for the Purposes of Sick Leave and Long-Service Leave Credits</w:t>
              </w:r>
            </w:hyperlink>
          </w:p>
        </w:tc>
        <w:tc>
          <w:tcPr>
            <w:tcW w:w="1692" w:type="dxa"/>
          </w:tcPr>
          <w:p w:rsidR="0017224A" w:rsidRPr="009F4271" w:rsidRDefault="00636B2C"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Maintains existing provisions and adds the following:</w:t>
            </w:r>
          </w:p>
          <w:p w:rsidR="0017224A" w:rsidRDefault="0017224A" w:rsidP="00876DC6">
            <w:pPr>
              <w:pStyle w:val="agpsbold"/>
              <w:numPr>
                <w:ilvl w:val="0"/>
                <w:numId w:val="10"/>
              </w:numPr>
              <w:spacing w:before="60" w:after="60"/>
              <w:ind w:left="388" w:right="139" w:hanging="388"/>
              <w:rPr>
                <w:rFonts w:ascii="Arial" w:hAnsi="Arial" w:cs="Arial"/>
                <w:b w:val="0"/>
                <w:sz w:val="18"/>
                <w:szCs w:val="18"/>
                <w:lang w:val="en-US"/>
              </w:rPr>
            </w:pPr>
            <w:r w:rsidRPr="004F6DC2">
              <w:rPr>
                <w:rFonts w:ascii="Arial" w:hAnsi="Arial" w:cs="Arial"/>
                <w:b w:val="0"/>
                <w:sz w:val="18"/>
                <w:szCs w:val="18"/>
                <w:lang w:val="en-US"/>
              </w:rPr>
              <w:t>Relating to casual staff only, claims for recognition of service prior to 1 October 1999 can be made for the first 12 months of the new Agreement, after which no service prior to this date will be taken into account</w:t>
            </w:r>
            <w:r>
              <w:rPr>
                <w:rFonts w:ascii="Arial" w:hAnsi="Arial" w:cs="Arial"/>
                <w:b w:val="0"/>
                <w:sz w:val="18"/>
                <w:szCs w:val="18"/>
                <w:lang w:val="en-US"/>
              </w:rPr>
              <w:t>.</w:t>
            </w:r>
          </w:p>
          <w:p w:rsidR="0017224A" w:rsidRPr="004348E8" w:rsidRDefault="0017224A" w:rsidP="00876DC6">
            <w:pPr>
              <w:pStyle w:val="agpsbold"/>
              <w:numPr>
                <w:ilvl w:val="0"/>
                <w:numId w:val="10"/>
              </w:numPr>
              <w:spacing w:before="60" w:after="120"/>
              <w:ind w:left="388" w:right="139" w:hanging="388"/>
              <w:rPr>
                <w:rFonts w:ascii="Arial" w:hAnsi="Arial" w:cs="Arial"/>
                <w:b w:val="0"/>
                <w:sz w:val="18"/>
                <w:szCs w:val="18"/>
                <w:lang w:val="en-US"/>
              </w:rPr>
            </w:pPr>
            <w:r w:rsidRPr="00B8588A">
              <w:rPr>
                <w:rFonts w:ascii="Arial" w:hAnsi="Arial" w:cs="Arial"/>
                <w:b w:val="0"/>
                <w:sz w:val="18"/>
                <w:szCs w:val="18"/>
                <w:lang w:val="en-US"/>
              </w:rPr>
              <w:t>Any period of up to 52 weeks break between fixed term appointments shall not constitute a break in service</w:t>
            </w:r>
            <w:r>
              <w:rPr>
                <w:rFonts w:ascii="Arial" w:hAnsi="Arial" w:cs="Arial"/>
                <w:b w:val="0"/>
                <w:sz w:val="18"/>
                <w:szCs w:val="18"/>
                <w:lang w:val="en-US"/>
              </w:rPr>
              <w:t xml:space="preserve"> subject to the provisions specified in clause 57.9</w:t>
            </w:r>
            <w:r w:rsidR="008157DB">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2" w:anchor="PubHol" w:history="1">
              <w:r w:rsidR="0017224A" w:rsidRPr="00696DD7">
                <w:rPr>
                  <w:rStyle w:val="Hyperlink"/>
                  <w:rFonts w:ascii="Arial" w:hAnsi="Arial" w:cs="Arial"/>
                  <w:b w:val="0"/>
                  <w:sz w:val="18"/>
                  <w:szCs w:val="18"/>
                </w:rPr>
                <w:t xml:space="preserve">58 </w:t>
              </w:r>
              <w:r w:rsidR="00696DD7" w:rsidRPr="00696DD7">
                <w:rPr>
                  <w:rStyle w:val="Hyperlink"/>
                  <w:rFonts w:ascii="Arial" w:hAnsi="Arial" w:cs="Arial"/>
                  <w:b w:val="0"/>
                  <w:sz w:val="18"/>
                  <w:szCs w:val="18"/>
                </w:rPr>
                <w:t>–</w:t>
              </w:r>
              <w:r w:rsidR="0017224A" w:rsidRPr="00696DD7">
                <w:rPr>
                  <w:rStyle w:val="Hyperlink"/>
                  <w:rFonts w:ascii="Arial" w:hAnsi="Arial" w:cs="Arial"/>
                  <w:b w:val="0"/>
                  <w:sz w:val="18"/>
                  <w:szCs w:val="18"/>
                </w:rPr>
                <w:t xml:space="preserve"> </w:t>
              </w:r>
              <w:r w:rsidR="00696DD7" w:rsidRPr="00696DD7">
                <w:rPr>
                  <w:rStyle w:val="Hyperlink"/>
                  <w:rFonts w:ascii="Arial" w:hAnsi="Arial" w:cs="Arial"/>
                  <w:b w:val="0"/>
                  <w:sz w:val="18"/>
                  <w:szCs w:val="18"/>
                </w:rPr>
                <w:t>Public Holidays and Christmas/N</w:t>
              </w:r>
              <w:r w:rsidR="0017224A" w:rsidRPr="00696DD7">
                <w:rPr>
                  <w:rStyle w:val="Hyperlink"/>
                  <w:rFonts w:ascii="Arial" w:hAnsi="Arial" w:cs="Arial"/>
                  <w:b w:val="0"/>
                  <w:sz w:val="18"/>
                  <w:szCs w:val="18"/>
                </w:rPr>
                <w:t>ew Year Closedown</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Maintains the existing provisions for Ballarat and Wimmera-based Campuses.</w:t>
            </w:r>
          </w:p>
          <w:p w:rsidR="0017224A" w:rsidRDefault="0017224A" w:rsidP="00876DC6">
            <w:pPr>
              <w:pStyle w:val="agpsbold"/>
              <w:spacing w:before="60" w:after="60"/>
              <w:ind w:right="139"/>
              <w:rPr>
                <w:rFonts w:ascii="Arial" w:hAnsi="Arial" w:cs="Arial"/>
                <w:b w:val="0"/>
                <w:sz w:val="18"/>
                <w:szCs w:val="18"/>
              </w:rPr>
            </w:pPr>
            <w:r>
              <w:rPr>
                <w:rFonts w:ascii="Arial" w:hAnsi="Arial" w:cs="Arial"/>
                <w:b w:val="0"/>
                <w:sz w:val="18"/>
                <w:szCs w:val="18"/>
                <w:lang w:val="en-US"/>
              </w:rPr>
              <w:t xml:space="preserve">From 1 March 2016 all University Campuses will observe the same University public holidays and closedown period.  This means staff at the Gippsland Campus will receive the Labour Day and Queen’s Birthday public holidays and observe the same </w:t>
            </w:r>
            <w:r w:rsidRPr="00D22947">
              <w:rPr>
                <w:rFonts w:ascii="Arial" w:hAnsi="Arial" w:cs="Arial"/>
                <w:b w:val="0"/>
                <w:sz w:val="18"/>
                <w:szCs w:val="18"/>
              </w:rPr>
              <w:t>Christmas / New Year Closedown</w:t>
            </w:r>
            <w:r>
              <w:rPr>
                <w:rFonts w:ascii="Arial" w:hAnsi="Arial" w:cs="Arial"/>
                <w:b w:val="0"/>
                <w:sz w:val="18"/>
                <w:szCs w:val="18"/>
              </w:rPr>
              <w:t xml:space="preserve"> dates as other campuses from 2016/2017 onwards.</w:t>
            </w:r>
          </w:p>
          <w:p w:rsidR="0017224A" w:rsidRPr="004348E8"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rPr>
              <w:t>Added provision that where Anzac Day falls on a Saturday or Sunday a holiday in lieu thereof will be observed on the following Monday.</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3" w:anchor="ManagingUnsatPerf" w:history="1">
              <w:r w:rsidR="0017224A" w:rsidRPr="00696DD7">
                <w:rPr>
                  <w:rStyle w:val="Hyperlink"/>
                  <w:rFonts w:ascii="Arial" w:hAnsi="Arial" w:cs="Arial"/>
                  <w:b w:val="0"/>
                  <w:sz w:val="18"/>
                  <w:szCs w:val="18"/>
                </w:rPr>
                <w:t>66 – Managing Unsatisfactory Performance</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Pr="004348E8"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Maintains the existing provisions however termination of employment on the grounds of unsatisfactory performance may apply to fixed-term staff subject to specific payment in lieu of the lesser of 6 months’ notice or the remaining period of the fixed-term.</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4" w:anchor="JobSec" w:history="1">
              <w:r w:rsidR="0017224A" w:rsidRPr="00696DD7">
                <w:rPr>
                  <w:rStyle w:val="Hyperlink"/>
                  <w:rFonts w:ascii="Arial" w:hAnsi="Arial" w:cs="Arial"/>
                  <w:b w:val="0"/>
                  <w:sz w:val="18"/>
                  <w:szCs w:val="18"/>
                </w:rPr>
                <w:t>69 – Job Security and Managing Change</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Process now makes express provision for proposals to provide opportunities for consideration of any impact in relation to employees’ family or caring responsibilities.</w:t>
            </w:r>
          </w:p>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Change to contracting provisions:</w:t>
            </w:r>
          </w:p>
          <w:p w:rsidR="0017224A" w:rsidRDefault="0017224A" w:rsidP="00876DC6">
            <w:pPr>
              <w:pStyle w:val="agpsbold"/>
              <w:numPr>
                <w:ilvl w:val="0"/>
                <w:numId w:val="11"/>
              </w:numPr>
              <w:spacing w:before="60" w:after="60"/>
              <w:ind w:left="388" w:right="139" w:hanging="388"/>
              <w:rPr>
                <w:rFonts w:ascii="Arial" w:hAnsi="Arial" w:cs="Arial"/>
                <w:b w:val="0"/>
                <w:sz w:val="18"/>
                <w:szCs w:val="18"/>
                <w:lang w:val="en-US"/>
              </w:rPr>
            </w:pPr>
            <w:r>
              <w:rPr>
                <w:rFonts w:ascii="Arial" w:hAnsi="Arial" w:cs="Arial"/>
                <w:b w:val="0"/>
                <w:sz w:val="18"/>
                <w:szCs w:val="18"/>
                <w:lang w:val="en-US"/>
              </w:rPr>
              <w:t>University may use contractors in situations including where there is a requirement to meet peak demands that normally would not exceed 6 weeks (the period formerly stated was three months).</w:t>
            </w:r>
          </w:p>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New added outsourcing provisions:</w:t>
            </w:r>
          </w:p>
          <w:p w:rsidR="0017224A" w:rsidRDefault="0017224A" w:rsidP="00876DC6">
            <w:pPr>
              <w:pStyle w:val="agpsbold"/>
              <w:numPr>
                <w:ilvl w:val="0"/>
                <w:numId w:val="11"/>
              </w:numPr>
              <w:spacing w:before="60" w:after="60"/>
              <w:ind w:left="388" w:right="139" w:hanging="388"/>
              <w:rPr>
                <w:rFonts w:ascii="Arial" w:hAnsi="Arial" w:cs="Arial"/>
                <w:b w:val="0"/>
                <w:sz w:val="18"/>
                <w:szCs w:val="18"/>
                <w:lang w:val="en-US"/>
              </w:rPr>
            </w:pPr>
            <w:r>
              <w:rPr>
                <w:rFonts w:ascii="Arial" w:hAnsi="Arial" w:cs="Arial"/>
                <w:b w:val="0"/>
                <w:sz w:val="18"/>
                <w:szCs w:val="18"/>
                <w:lang w:val="en-US"/>
              </w:rPr>
              <w:t>Staff nominated by the relevant union(s) will be invited to participate in development of the request for proposal(s), criteria for assessment, and the evaluation of any subsequent responses. Commitment to only engage contractors agreeing to particular terms specified in clause 69.9.3.</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5" w:anchor="ResolvingWPDisputes" w:history="1">
              <w:r w:rsidR="00C1129A" w:rsidRPr="00696DD7">
                <w:rPr>
                  <w:rStyle w:val="Hyperlink"/>
                  <w:rFonts w:ascii="Arial" w:hAnsi="Arial" w:cs="Arial"/>
                  <w:b w:val="0"/>
                  <w:sz w:val="18"/>
                  <w:szCs w:val="18"/>
                </w:rPr>
                <w:t xml:space="preserve">70 </w:t>
              </w:r>
              <w:r w:rsidR="00C1129A" w:rsidRPr="00696DD7">
                <w:rPr>
                  <w:rStyle w:val="Hyperlink"/>
                  <w:rFonts w:ascii="Arial" w:hAnsi="Arial" w:cs="Arial"/>
                  <w:b w:val="0"/>
                  <w:sz w:val="18"/>
                  <w:szCs w:val="18"/>
                  <w:lang w:val="en-US"/>
                </w:rPr>
                <w:t>–</w:t>
              </w:r>
              <w:r w:rsidR="0017224A" w:rsidRPr="00696DD7">
                <w:rPr>
                  <w:rStyle w:val="Hyperlink"/>
                  <w:rFonts w:ascii="Arial" w:hAnsi="Arial" w:cs="Arial"/>
                  <w:b w:val="0"/>
                  <w:sz w:val="18"/>
                  <w:szCs w:val="18"/>
                </w:rPr>
                <w:t xml:space="preserve"> Resolving Workplace Disputes Arising From This Agreement</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Maintains the existing provisions.</w:t>
            </w:r>
          </w:p>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Adds that the Agreement dispute resolution process will be followed for disputes about whether the University had reasonable grounds concerning flexible working arrangement requests and requests to extend unpaid parental leave.</w:t>
            </w:r>
          </w:p>
          <w:p w:rsidR="0017224A"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Disputes commenced under the previous applicable enterprise agreements shall continue to be dealt with pursuant to the former applicable agreement whether notified before or after the comme</w:t>
            </w:r>
            <w:r w:rsidR="00D069DB">
              <w:rPr>
                <w:rFonts w:ascii="Arial" w:hAnsi="Arial" w:cs="Arial"/>
                <w:b w:val="0"/>
                <w:sz w:val="18"/>
                <w:szCs w:val="18"/>
                <w:lang w:val="en-US"/>
              </w:rPr>
              <w:t>ncement of the new Agreement.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6" w:anchor="RoleofWPReps" w:history="1">
              <w:r w:rsidR="0017224A" w:rsidRPr="00696DD7">
                <w:rPr>
                  <w:rStyle w:val="Hyperlink"/>
                  <w:rFonts w:ascii="Arial" w:hAnsi="Arial" w:cs="Arial"/>
                  <w:b w:val="0"/>
                  <w:sz w:val="18"/>
                  <w:szCs w:val="18"/>
                </w:rPr>
                <w:t>73 – Role of Workplace Representatives</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Maintains the existing provisions and adds the following:</w:t>
            </w:r>
          </w:p>
          <w:p w:rsidR="0017224A" w:rsidRDefault="0017224A" w:rsidP="00876DC6">
            <w:pPr>
              <w:pStyle w:val="agpsbold"/>
              <w:spacing w:before="60" w:after="120"/>
              <w:ind w:right="139"/>
              <w:rPr>
                <w:rFonts w:ascii="Arial" w:hAnsi="Arial" w:cs="Arial"/>
                <w:b w:val="0"/>
                <w:sz w:val="18"/>
                <w:szCs w:val="18"/>
                <w:lang w:val="en-US"/>
              </w:rPr>
            </w:pPr>
            <w:r w:rsidRPr="006E3A58">
              <w:rPr>
                <w:rFonts w:ascii="Arial" w:hAnsi="Arial" w:cs="Arial"/>
                <w:b w:val="0"/>
                <w:sz w:val="18"/>
                <w:szCs w:val="18"/>
                <w:lang w:val="en-US"/>
              </w:rPr>
              <w:t>Reasonable paid time release will be permitted to union members to attend hearings, conferences or meetings of the Fair Work Commission if those matters directly relate to the individual employee or where they are required to provide advice or act as a witness.</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7" w:anchor="OfficeFacilities" w:history="1">
              <w:r w:rsidR="0017224A" w:rsidRPr="00696DD7">
                <w:rPr>
                  <w:rStyle w:val="Hyperlink"/>
                  <w:rFonts w:ascii="Arial" w:hAnsi="Arial" w:cs="Arial"/>
                  <w:b w:val="0"/>
                  <w:sz w:val="18"/>
                  <w:szCs w:val="18"/>
                </w:rPr>
                <w:t xml:space="preserve">75 </w:t>
              </w:r>
              <w:r w:rsidR="00C1129A" w:rsidRPr="00696DD7">
                <w:rPr>
                  <w:rStyle w:val="Hyperlink"/>
                  <w:rFonts w:ascii="Arial" w:hAnsi="Arial" w:cs="Arial"/>
                  <w:b w:val="0"/>
                  <w:sz w:val="18"/>
                  <w:szCs w:val="18"/>
                  <w:lang w:val="en-US"/>
                </w:rPr>
                <w:t>–</w:t>
              </w:r>
              <w:r w:rsidR="0017224A" w:rsidRPr="00696DD7">
                <w:rPr>
                  <w:rStyle w:val="Hyperlink"/>
                  <w:rFonts w:ascii="Arial" w:hAnsi="Arial" w:cs="Arial"/>
                  <w:b w:val="0"/>
                  <w:sz w:val="18"/>
                  <w:szCs w:val="18"/>
                </w:rPr>
                <w:t xml:space="preserve"> Office Facilities</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120"/>
              <w:ind w:right="139"/>
              <w:rPr>
                <w:rFonts w:ascii="Arial" w:hAnsi="Arial" w:cs="Arial"/>
                <w:b w:val="0"/>
                <w:sz w:val="18"/>
                <w:szCs w:val="18"/>
                <w:lang w:val="en-US"/>
              </w:rPr>
            </w:pPr>
            <w:r>
              <w:rPr>
                <w:rFonts w:ascii="Arial" w:hAnsi="Arial" w:cs="Arial"/>
                <w:b w:val="0"/>
                <w:sz w:val="18"/>
                <w:szCs w:val="18"/>
                <w:lang w:val="en-US"/>
              </w:rPr>
              <w:t>Adds to existing provisions by provision of secure offices for union branch officers at Mt Helen and Gippsland campuses, and a</w:t>
            </w:r>
            <w:r w:rsidRPr="000470A0">
              <w:rPr>
                <w:rFonts w:ascii="Arial" w:hAnsi="Arial" w:cs="Arial"/>
                <w:b w:val="0"/>
                <w:sz w:val="18"/>
                <w:szCs w:val="18"/>
                <w:lang w:val="en-US"/>
              </w:rPr>
              <w:t xml:space="preserve">ccess </w:t>
            </w:r>
            <w:r>
              <w:rPr>
                <w:rFonts w:ascii="Arial" w:hAnsi="Arial" w:cs="Arial"/>
                <w:b w:val="0"/>
                <w:sz w:val="18"/>
                <w:szCs w:val="18"/>
                <w:lang w:val="en-US"/>
              </w:rPr>
              <w:t>to</w:t>
            </w:r>
            <w:r w:rsidRPr="000470A0">
              <w:rPr>
                <w:rFonts w:ascii="Arial" w:hAnsi="Arial" w:cs="Arial"/>
                <w:b w:val="0"/>
                <w:sz w:val="18"/>
                <w:szCs w:val="18"/>
                <w:lang w:val="en-US"/>
              </w:rPr>
              <w:t xml:space="preserve"> meeting rooms with internet and telephone access at other campuses of the University.</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8" w:anchor="Uniforms" w:history="1">
              <w:r w:rsidR="0017224A" w:rsidRPr="00696DD7">
                <w:rPr>
                  <w:rStyle w:val="Hyperlink"/>
                  <w:rFonts w:ascii="Arial" w:hAnsi="Arial" w:cs="Arial"/>
                  <w:b w:val="0"/>
                  <w:sz w:val="18"/>
                  <w:szCs w:val="18"/>
                </w:rPr>
                <w:t xml:space="preserve">79 </w:t>
              </w:r>
              <w:r w:rsidR="00C1129A" w:rsidRPr="00696DD7">
                <w:rPr>
                  <w:rStyle w:val="Hyperlink"/>
                  <w:rFonts w:ascii="Arial" w:hAnsi="Arial" w:cs="Arial"/>
                  <w:b w:val="0"/>
                  <w:sz w:val="18"/>
                  <w:szCs w:val="18"/>
                  <w:lang w:val="en-US"/>
                </w:rPr>
                <w:t>–</w:t>
              </w:r>
              <w:r w:rsidR="0017224A" w:rsidRPr="00696DD7">
                <w:rPr>
                  <w:rStyle w:val="Hyperlink"/>
                  <w:rFonts w:ascii="Arial" w:hAnsi="Arial" w:cs="Arial"/>
                  <w:b w:val="0"/>
                  <w:sz w:val="18"/>
                  <w:szCs w:val="18"/>
                </w:rPr>
                <w:t xml:space="preserve"> Uniforms and Protective Clothing</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Insertion of specified amounts for Uniforms:</w:t>
            </w:r>
          </w:p>
          <w:p w:rsidR="0017224A" w:rsidRPr="00001EF2" w:rsidRDefault="0017224A" w:rsidP="00876DC6">
            <w:pPr>
              <w:pStyle w:val="agpsbold"/>
              <w:numPr>
                <w:ilvl w:val="0"/>
                <w:numId w:val="11"/>
              </w:numPr>
              <w:spacing w:before="60" w:after="60"/>
              <w:ind w:left="388" w:right="139" w:hanging="388"/>
              <w:rPr>
                <w:rFonts w:ascii="Arial" w:hAnsi="Arial" w:cs="Arial"/>
                <w:b w:val="0"/>
                <w:sz w:val="18"/>
                <w:szCs w:val="18"/>
                <w:lang w:val="en-US"/>
              </w:rPr>
            </w:pPr>
            <w:r>
              <w:rPr>
                <w:rFonts w:ascii="Arial" w:hAnsi="Arial" w:cs="Arial"/>
                <w:b w:val="0"/>
                <w:sz w:val="18"/>
                <w:szCs w:val="18"/>
                <w:lang w:val="en-US"/>
              </w:rPr>
              <w:t>Up</w:t>
            </w:r>
            <w:r w:rsidRPr="00001EF2">
              <w:rPr>
                <w:rFonts w:ascii="Arial" w:hAnsi="Arial" w:cs="Arial"/>
                <w:b w:val="0"/>
                <w:sz w:val="18"/>
                <w:szCs w:val="18"/>
                <w:lang w:val="en-US"/>
              </w:rPr>
              <w:t xml:space="preserve"> to $200 plus GST </w:t>
            </w:r>
            <w:r>
              <w:rPr>
                <w:rFonts w:ascii="Arial" w:hAnsi="Arial" w:cs="Arial"/>
                <w:b w:val="0"/>
                <w:sz w:val="18"/>
                <w:szCs w:val="18"/>
                <w:lang w:val="en-US"/>
              </w:rPr>
              <w:t>(adjusted by CPI)</w:t>
            </w:r>
            <w:r w:rsidRPr="00001EF2">
              <w:rPr>
                <w:rFonts w:ascii="Arial" w:hAnsi="Arial" w:cs="Arial"/>
                <w:b w:val="0"/>
                <w:sz w:val="18"/>
                <w:szCs w:val="18"/>
                <w:lang w:val="en-US"/>
              </w:rPr>
              <w:t xml:space="preserve">allocated on commencement, or in the case of employees with over twelve (12) months service, each January, to each relevant employee to purchase overalls/slacks/trousers, shorts, vests, jumpers and shirts from the authorised University supplier.  </w:t>
            </w:r>
          </w:p>
          <w:p w:rsidR="0017224A" w:rsidRDefault="0017224A" w:rsidP="00876DC6">
            <w:pPr>
              <w:pStyle w:val="agpsbold"/>
              <w:numPr>
                <w:ilvl w:val="0"/>
                <w:numId w:val="11"/>
              </w:numPr>
              <w:spacing w:before="60" w:after="120"/>
              <w:ind w:left="388" w:right="139" w:hanging="388"/>
              <w:rPr>
                <w:rFonts w:ascii="Arial" w:hAnsi="Arial" w:cs="Arial"/>
                <w:b w:val="0"/>
                <w:sz w:val="18"/>
                <w:szCs w:val="18"/>
                <w:lang w:val="en-US"/>
              </w:rPr>
            </w:pPr>
            <w:r w:rsidRPr="00001EF2">
              <w:rPr>
                <w:rFonts w:ascii="Arial" w:hAnsi="Arial" w:cs="Arial"/>
                <w:b w:val="0"/>
                <w:sz w:val="18"/>
                <w:szCs w:val="18"/>
                <w:lang w:val="en-US"/>
              </w:rPr>
              <w:t>Safety boots/shoes to be purchased at a value of up to $150 will be replaced at intervals of 18 months from issue, or earlier if damaged or worn out</w:t>
            </w:r>
            <w:r>
              <w:rPr>
                <w:rFonts w:ascii="Arial" w:hAnsi="Arial" w:cs="Arial"/>
                <w:b w:val="0"/>
                <w:sz w:val="18"/>
                <w:szCs w:val="18"/>
                <w:lang w:val="en-US"/>
              </w:rPr>
              <w:t xml:space="preserve"> for relevant employees</w:t>
            </w:r>
            <w:r w:rsidRPr="00001EF2">
              <w:rPr>
                <w:rFonts w:ascii="Arial" w:hAnsi="Arial" w:cs="Arial"/>
                <w:b w:val="0"/>
                <w:sz w:val="18"/>
                <w:szCs w:val="18"/>
                <w:lang w:val="en-US"/>
              </w:rPr>
              <w:t>.</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49" w:anchor="ToolsMaterials" w:history="1">
              <w:r w:rsidR="0017224A" w:rsidRPr="00696DD7">
                <w:rPr>
                  <w:rStyle w:val="Hyperlink"/>
                  <w:rFonts w:ascii="Arial" w:hAnsi="Arial" w:cs="Arial"/>
                  <w:b w:val="0"/>
                  <w:sz w:val="18"/>
                  <w:szCs w:val="18"/>
                </w:rPr>
                <w:t>80 – Tools, Materials and Licences</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A</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Maintains existing provisions and adds:</w:t>
            </w:r>
          </w:p>
          <w:p w:rsidR="0017224A" w:rsidRDefault="0017224A" w:rsidP="00876DC6">
            <w:pPr>
              <w:pStyle w:val="agpsbold"/>
              <w:spacing w:before="60" w:after="120"/>
              <w:ind w:right="139"/>
              <w:rPr>
                <w:rFonts w:ascii="Arial" w:hAnsi="Arial" w:cs="Arial"/>
                <w:b w:val="0"/>
                <w:sz w:val="18"/>
                <w:szCs w:val="18"/>
                <w:lang w:val="en-US"/>
              </w:rPr>
            </w:pPr>
            <w:r w:rsidRPr="000D3FCC">
              <w:rPr>
                <w:rFonts w:ascii="Arial" w:hAnsi="Arial" w:cs="Arial"/>
                <w:b w:val="0"/>
                <w:sz w:val="18"/>
                <w:szCs w:val="18"/>
                <w:lang w:val="en-US"/>
              </w:rPr>
              <w:t>Where it is necessary for an employee in accordance with the employee’s his/her position description to perform specific tasks that require a formal qualification/licence, e.g. skid-steer, front-end loader, traffic management, forklift, working at heights, bus licence, the University will pay for fees involved in obtaining the necessary qualification.</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50" w:anchor="StaffFacilities" w:history="1">
              <w:r w:rsidR="0017224A" w:rsidRPr="00696DD7">
                <w:rPr>
                  <w:rStyle w:val="Hyperlink"/>
                  <w:rFonts w:ascii="Arial" w:hAnsi="Arial" w:cs="Arial"/>
                  <w:b w:val="0"/>
                  <w:sz w:val="18"/>
                  <w:szCs w:val="18"/>
                </w:rPr>
                <w:t>83 – Staff Facilities</w:t>
              </w:r>
            </w:hyperlink>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Pr="00F24E3C"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In respect of lunch and shower f</w:t>
            </w:r>
            <w:r w:rsidRPr="00F24E3C">
              <w:rPr>
                <w:rFonts w:ascii="Arial" w:hAnsi="Arial" w:cs="Arial"/>
                <w:b w:val="0"/>
                <w:sz w:val="18"/>
                <w:szCs w:val="18"/>
                <w:lang w:val="en-US"/>
              </w:rPr>
              <w:t>acilities</w:t>
            </w:r>
            <w:r>
              <w:rPr>
                <w:rFonts w:ascii="Arial" w:hAnsi="Arial" w:cs="Arial"/>
                <w:b w:val="0"/>
                <w:sz w:val="18"/>
                <w:szCs w:val="18"/>
                <w:lang w:val="en-US"/>
              </w:rPr>
              <w:t xml:space="preserve"> t</w:t>
            </w:r>
            <w:r w:rsidRPr="00F24E3C">
              <w:rPr>
                <w:rFonts w:ascii="Arial" w:hAnsi="Arial" w:cs="Arial"/>
                <w:b w:val="0"/>
                <w:sz w:val="18"/>
                <w:szCs w:val="18"/>
                <w:lang w:val="en-US"/>
              </w:rPr>
              <w:t>he University will provide reasonable access to staff lunch room facilities for all staff and an area for staff to take breaks.</w:t>
            </w:r>
          </w:p>
          <w:p w:rsidR="0017224A" w:rsidRDefault="0017224A" w:rsidP="00876DC6">
            <w:pPr>
              <w:pStyle w:val="agpsbold"/>
              <w:spacing w:before="60" w:after="120"/>
              <w:ind w:right="139"/>
              <w:rPr>
                <w:rFonts w:ascii="Arial" w:hAnsi="Arial" w:cs="Arial"/>
                <w:b w:val="0"/>
                <w:sz w:val="18"/>
                <w:szCs w:val="18"/>
                <w:lang w:val="en-US"/>
              </w:rPr>
            </w:pPr>
            <w:r w:rsidRPr="00F24E3C">
              <w:rPr>
                <w:rFonts w:ascii="Arial" w:hAnsi="Arial" w:cs="Arial"/>
                <w:b w:val="0"/>
                <w:sz w:val="18"/>
                <w:szCs w:val="18"/>
                <w:lang w:val="en-US"/>
              </w:rPr>
              <w:t>In addition, trades and services staff will be provided with air-conditioned lunch rooms, toilets, showers and change room facilities at each campus, and supplied with hot and cold water.</w:t>
            </w:r>
          </w:p>
        </w:tc>
      </w:tr>
      <w:tr w:rsidR="0017224A" w:rsidRPr="004348E8" w:rsidTr="00876DC6">
        <w:tc>
          <w:tcPr>
            <w:tcW w:w="3908" w:type="dxa"/>
          </w:tcPr>
          <w:p w:rsidR="0017224A" w:rsidRDefault="00A46FFF" w:rsidP="00876DC6">
            <w:pPr>
              <w:pStyle w:val="agpsbold"/>
              <w:spacing w:before="60" w:after="60"/>
              <w:ind w:left="34"/>
              <w:rPr>
                <w:rFonts w:ascii="Arial" w:hAnsi="Arial" w:cs="Arial"/>
                <w:b w:val="0"/>
                <w:sz w:val="18"/>
                <w:szCs w:val="18"/>
              </w:rPr>
            </w:pPr>
            <w:hyperlink r:id="rId51" w:anchor="Schedule7" w:history="1">
              <w:r w:rsidR="0017224A" w:rsidRPr="00E5437F">
                <w:rPr>
                  <w:rStyle w:val="Hyperlink"/>
                  <w:rFonts w:ascii="Arial" w:hAnsi="Arial" w:cs="Arial"/>
                  <w:b w:val="0"/>
                  <w:sz w:val="18"/>
                  <w:szCs w:val="18"/>
                </w:rPr>
                <w:t>Schedule 7 – Provisions Relating to Gippsland Transferred Employees only</w:t>
              </w:r>
            </w:hyperlink>
            <w:bookmarkStart w:id="0" w:name="_GoBack"/>
            <w:bookmarkEnd w:id="0"/>
          </w:p>
        </w:tc>
        <w:tc>
          <w:tcPr>
            <w:tcW w:w="1692" w:type="dxa"/>
          </w:tcPr>
          <w:p w:rsidR="0017224A" w:rsidRPr="009F4271" w:rsidRDefault="00E23403" w:rsidP="00C1129A">
            <w:pPr>
              <w:pStyle w:val="agpsbold"/>
              <w:spacing w:before="60" w:after="60"/>
              <w:jc w:val="center"/>
              <w:rPr>
                <w:rFonts w:ascii="Arial" w:hAnsi="Arial" w:cs="Arial"/>
                <w:sz w:val="18"/>
                <w:szCs w:val="18"/>
                <w:lang w:val="en-US"/>
              </w:rPr>
            </w:pPr>
            <w:r w:rsidRPr="009F4271">
              <w:rPr>
                <w:rFonts w:ascii="Arial" w:hAnsi="Arial" w:cs="Arial"/>
                <w:sz w:val="18"/>
                <w:szCs w:val="18"/>
                <w:lang w:val="en-US"/>
              </w:rPr>
              <w:t>N</w:t>
            </w:r>
          </w:p>
        </w:tc>
        <w:tc>
          <w:tcPr>
            <w:tcW w:w="9248" w:type="dxa"/>
          </w:tcPr>
          <w:p w:rsidR="0017224A" w:rsidRDefault="0017224A" w:rsidP="00876DC6">
            <w:pPr>
              <w:pStyle w:val="agpsbold"/>
              <w:spacing w:before="60" w:after="60"/>
              <w:ind w:right="139"/>
              <w:rPr>
                <w:rFonts w:ascii="Arial" w:hAnsi="Arial" w:cs="Arial"/>
                <w:b w:val="0"/>
                <w:sz w:val="18"/>
                <w:szCs w:val="18"/>
                <w:lang w:val="en-US"/>
              </w:rPr>
            </w:pPr>
            <w:r>
              <w:rPr>
                <w:rFonts w:ascii="Arial" w:hAnsi="Arial" w:cs="Arial"/>
                <w:b w:val="0"/>
                <w:sz w:val="18"/>
                <w:szCs w:val="18"/>
                <w:lang w:val="en-US"/>
              </w:rPr>
              <w:t xml:space="preserve">The following provisions from the former </w:t>
            </w:r>
            <w:r w:rsidRPr="00C75853">
              <w:rPr>
                <w:rFonts w:ascii="Arial" w:hAnsi="Arial" w:cs="Arial"/>
                <w:b w:val="0"/>
                <w:i/>
                <w:sz w:val="18"/>
                <w:szCs w:val="18"/>
                <w:lang w:val="en-US"/>
              </w:rPr>
              <w:t xml:space="preserve">Monash University Enterprise Agreement (Academic and Professional Staff) 2009, </w:t>
            </w:r>
            <w:r w:rsidRPr="00C75853">
              <w:rPr>
                <w:rFonts w:ascii="Arial" w:hAnsi="Arial" w:cs="Arial"/>
                <w:b w:val="0"/>
                <w:sz w:val="18"/>
                <w:szCs w:val="18"/>
                <w:lang w:val="en-US"/>
              </w:rPr>
              <w:t>and the</w:t>
            </w:r>
            <w:r w:rsidRPr="00C75853">
              <w:rPr>
                <w:rFonts w:ascii="Arial" w:hAnsi="Arial" w:cs="Arial"/>
                <w:b w:val="0"/>
                <w:i/>
                <w:sz w:val="18"/>
                <w:szCs w:val="18"/>
                <w:lang w:val="en-US"/>
              </w:rPr>
              <w:t xml:space="preserve"> Monash University Enterprise Agreement (Trades and Services Staff – Building and Metal Trades Staff) 2009</w:t>
            </w:r>
            <w:r>
              <w:rPr>
                <w:rFonts w:ascii="Arial" w:hAnsi="Arial" w:cs="Arial"/>
                <w:b w:val="0"/>
                <w:sz w:val="18"/>
                <w:szCs w:val="18"/>
                <w:lang w:val="en-US"/>
              </w:rPr>
              <w:t xml:space="preserve"> have been preserved for Gippsland Transferred Employees:</w:t>
            </w:r>
          </w:p>
          <w:p w:rsidR="0017224A" w:rsidRDefault="0017224A" w:rsidP="005B4300">
            <w:pPr>
              <w:pStyle w:val="agpsbold"/>
              <w:spacing w:before="60" w:after="120"/>
              <w:ind w:right="139"/>
              <w:jc w:val="both"/>
              <w:rPr>
                <w:rFonts w:ascii="Arial" w:hAnsi="Arial" w:cs="Arial"/>
                <w:b w:val="0"/>
                <w:sz w:val="18"/>
                <w:szCs w:val="18"/>
                <w:lang w:val="en-US"/>
              </w:rPr>
            </w:pPr>
            <w:r>
              <w:rPr>
                <w:rFonts w:ascii="Arial" w:hAnsi="Arial" w:cs="Arial"/>
                <w:b w:val="0"/>
                <w:sz w:val="18"/>
                <w:szCs w:val="18"/>
                <w:lang w:val="en-US"/>
              </w:rPr>
              <w:t>Car Parking Arrangements; Flexible Working Arrangements, additional HEW incremental steps; Parental Leave; application of overtime and shift-work for casual employees.</w:t>
            </w:r>
          </w:p>
        </w:tc>
      </w:tr>
    </w:tbl>
    <w:p w:rsidR="00FD7E21" w:rsidRPr="00626E3E" w:rsidRDefault="00FD7E21" w:rsidP="00D069DB">
      <w:pPr>
        <w:rPr>
          <w:rFonts w:ascii="Arial" w:hAnsi="Arial" w:cs="Arial"/>
        </w:rPr>
      </w:pPr>
    </w:p>
    <w:sectPr w:rsidR="00FD7E21" w:rsidRPr="00626E3E" w:rsidSect="00C1129A">
      <w:pgSz w:w="16838" w:h="11906" w:orient="landscape"/>
      <w:pgMar w:top="1134" w:right="851" w:bottom="851" w:left="1134"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FF" w:rsidRDefault="00A46FFF" w:rsidP="00C1129A">
      <w:pPr>
        <w:spacing w:after="0" w:line="240" w:lineRule="auto"/>
      </w:pPr>
      <w:r>
        <w:separator/>
      </w:r>
    </w:p>
  </w:endnote>
  <w:endnote w:type="continuationSeparator" w:id="0">
    <w:p w:rsidR="00A46FFF" w:rsidRDefault="00A46FFF" w:rsidP="00C1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29"/>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2"/>
    </w:tblGrid>
    <w:tr w:rsidR="00C1129A" w:rsidRPr="00EB52F0" w:rsidTr="00C1129A">
      <w:tc>
        <w:tcPr>
          <w:tcW w:w="14992" w:type="dxa"/>
        </w:tcPr>
        <w:p w:rsidR="00C1129A" w:rsidRPr="00C1129A" w:rsidRDefault="00C1129A" w:rsidP="00C1129A">
          <w:pPr>
            <w:pStyle w:val="Footer"/>
            <w:tabs>
              <w:tab w:val="clear" w:pos="4513"/>
              <w:tab w:val="clear" w:pos="9026"/>
              <w:tab w:val="right" w:pos="14884"/>
            </w:tabs>
            <w:ind w:right="-108"/>
            <w:rPr>
              <w:rFonts w:ascii="Arial" w:hAnsi="Arial" w:cs="Arial"/>
              <w:b/>
              <w:sz w:val="12"/>
              <w:szCs w:val="12"/>
            </w:rPr>
          </w:pPr>
          <w:r w:rsidRPr="00C1129A">
            <w:rPr>
              <w:rFonts w:ascii="Arial" w:hAnsi="Arial" w:cs="Arial"/>
              <w:sz w:val="12"/>
              <w:szCs w:val="12"/>
            </w:rPr>
            <w:t>CRICOS Provider No. 00103D</w:t>
          </w:r>
          <w:r w:rsidRPr="00C1129A">
            <w:rPr>
              <w:rFonts w:ascii="Arial" w:hAnsi="Arial" w:cs="Arial"/>
              <w:sz w:val="16"/>
              <w:szCs w:val="16"/>
            </w:rPr>
            <w:t xml:space="preserve"> </w:t>
          </w:r>
          <w:r w:rsidRPr="00C1129A">
            <w:rPr>
              <w:rFonts w:ascii="Arial" w:hAnsi="Arial" w:cs="Arial"/>
              <w:sz w:val="16"/>
              <w:szCs w:val="16"/>
            </w:rPr>
            <w:tab/>
            <w:t xml:space="preserve">Page </w:t>
          </w:r>
          <w:r w:rsidRPr="00C1129A">
            <w:rPr>
              <w:rFonts w:ascii="Arial" w:hAnsi="Arial" w:cs="Arial"/>
              <w:b/>
              <w:sz w:val="16"/>
              <w:szCs w:val="16"/>
            </w:rPr>
            <w:fldChar w:fldCharType="begin"/>
          </w:r>
          <w:r w:rsidRPr="00C1129A">
            <w:rPr>
              <w:rFonts w:ascii="Arial" w:hAnsi="Arial" w:cs="Arial"/>
              <w:sz w:val="16"/>
              <w:szCs w:val="16"/>
            </w:rPr>
            <w:instrText xml:space="preserve"> PAGE </w:instrText>
          </w:r>
          <w:r w:rsidRPr="00C1129A">
            <w:rPr>
              <w:rFonts w:ascii="Arial" w:hAnsi="Arial" w:cs="Arial"/>
              <w:b/>
              <w:sz w:val="16"/>
              <w:szCs w:val="16"/>
            </w:rPr>
            <w:fldChar w:fldCharType="separate"/>
          </w:r>
          <w:r w:rsidR="0063124E">
            <w:rPr>
              <w:rFonts w:ascii="Arial" w:hAnsi="Arial" w:cs="Arial"/>
              <w:noProof/>
              <w:sz w:val="16"/>
              <w:szCs w:val="16"/>
            </w:rPr>
            <w:t>7</w:t>
          </w:r>
          <w:r w:rsidRPr="00C1129A">
            <w:rPr>
              <w:rFonts w:ascii="Arial" w:hAnsi="Arial" w:cs="Arial"/>
              <w:b/>
              <w:sz w:val="16"/>
              <w:szCs w:val="16"/>
            </w:rPr>
            <w:fldChar w:fldCharType="end"/>
          </w:r>
          <w:r w:rsidRPr="00C1129A">
            <w:rPr>
              <w:rFonts w:ascii="Arial" w:hAnsi="Arial" w:cs="Arial"/>
              <w:sz w:val="16"/>
              <w:szCs w:val="16"/>
            </w:rPr>
            <w:t xml:space="preserve"> of </w:t>
          </w:r>
          <w:r w:rsidRPr="00C1129A">
            <w:rPr>
              <w:rFonts w:ascii="Arial" w:hAnsi="Arial" w:cs="Arial"/>
              <w:b/>
              <w:sz w:val="16"/>
              <w:szCs w:val="16"/>
            </w:rPr>
            <w:fldChar w:fldCharType="begin"/>
          </w:r>
          <w:r w:rsidRPr="00C1129A">
            <w:rPr>
              <w:rFonts w:ascii="Arial" w:hAnsi="Arial" w:cs="Arial"/>
              <w:sz w:val="16"/>
              <w:szCs w:val="16"/>
            </w:rPr>
            <w:instrText xml:space="preserve"> NUMPAGES  </w:instrText>
          </w:r>
          <w:r w:rsidRPr="00C1129A">
            <w:rPr>
              <w:rFonts w:ascii="Arial" w:hAnsi="Arial" w:cs="Arial"/>
              <w:b/>
              <w:sz w:val="16"/>
              <w:szCs w:val="16"/>
            </w:rPr>
            <w:fldChar w:fldCharType="separate"/>
          </w:r>
          <w:r w:rsidR="0063124E">
            <w:rPr>
              <w:rFonts w:ascii="Arial" w:hAnsi="Arial" w:cs="Arial"/>
              <w:noProof/>
              <w:sz w:val="16"/>
              <w:szCs w:val="16"/>
            </w:rPr>
            <w:t>8</w:t>
          </w:r>
          <w:r w:rsidRPr="00C1129A">
            <w:rPr>
              <w:rFonts w:ascii="Arial" w:hAnsi="Arial" w:cs="Arial"/>
              <w:b/>
              <w:sz w:val="16"/>
              <w:szCs w:val="16"/>
            </w:rPr>
            <w:fldChar w:fldCharType="end"/>
          </w:r>
        </w:p>
      </w:tc>
    </w:tr>
  </w:tbl>
  <w:p w:rsidR="00C1129A" w:rsidRDefault="00C1129A">
    <w:pPr>
      <w:pStyle w:val="Footer"/>
    </w:pPr>
    <w:r>
      <w:rPr>
        <w:noProof/>
        <w:lang w:eastAsia="en-AU"/>
      </w:rPr>
      <w:drawing>
        <wp:anchor distT="0" distB="0" distL="114300" distR="114300" simplePos="0" relativeHeight="251672576" behindDoc="1" locked="0" layoutInCell="1" allowOverlap="1" wp14:anchorId="55CE92CE" wp14:editId="70E2DDCC">
          <wp:simplePos x="0" y="0"/>
          <wp:positionH relativeFrom="column">
            <wp:posOffset>-914400</wp:posOffset>
          </wp:positionH>
          <wp:positionV relativeFrom="page">
            <wp:posOffset>6965315</wp:posOffset>
          </wp:positionV>
          <wp:extent cx="10692765" cy="541655"/>
          <wp:effectExtent l="0" t="0" r="0" b="0"/>
          <wp:wrapNone/>
          <wp:docPr id="7" name="Picture 7" descr="FedU_A4_Landscape_7mm_Foot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Landscape_7mm_FooterCOL.jpg"/>
                  <pic:cNvPicPr/>
                </pic:nvPicPr>
                <pic:blipFill>
                  <a:blip r:embed="rId1" cstate="print">
                    <a:extLst>
                      <a:ext uri="{28A0092B-C50C-407E-A947-70E740481C1C}">
                        <a14:useLocalDpi xmlns:a14="http://schemas.microsoft.com/office/drawing/2010/main"/>
                      </a:ext>
                    </a:extLst>
                  </a:blip>
                  <a:stretch>
                    <a:fillRect/>
                  </a:stretch>
                </pic:blipFill>
                <pic:spPr>
                  <a:xfrm>
                    <a:off x="0" y="0"/>
                    <a:ext cx="1069276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FF" w:rsidRDefault="00A46FFF" w:rsidP="00C1129A">
      <w:pPr>
        <w:spacing w:after="0" w:line="240" w:lineRule="auto"/>
      </w:pPr>
      <w:r>
        <w:separator/>
      </w:r>
    </w:p>
  </w:footnote>
  <w:footnote w:type="continuationSeparator" w:id="0">
    <w:p w:rsidR="00A46FFF" w:rsidRDefault="00A46FFF" w:rsidP="00C11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386"/>
    </w:tblGrid>
    <w:tr w:rsidR="00C1129A" w:rsidTr="00C1129A">
      <w:tc>
        <w:tcPr>
          <w:tcW w:w="9606" w:type="dxa"/>
        </w:tcPr>
        <w:p w:rsidR="00C1129A" w:rsidRPr="00C1129A" w:rsidRDefault="00D069DB" w:rsidP="00C1129A">
          <w:pPr>
            <w:pStyle w:val="Header"/>
            <w:rPr>
              <w:rFonts w:ascii="Arial" w:hAnsi="Arial" w:cs="Arial"/>
              <w:b/>
              <w:bCs/>
              <w:color w:val="004786"/>
              <w:sz w:val="52"/>
              <w:szCs w:val="52"/>
            </w:rPr>
          </w:pPr>
          <w:r>
            <w:rPr>
              <w:rFonts w:ascii="Arial" w:hAnsi="Arial" w:cs="Arial"/>
              <w:b/>
              <w:bCs/>
              <w:color w:val="004786"/>
              <w:sz w:val="52"/>
              <w:szCs w:val="52"/>
            </w:rPr>
            <w:t>Summary guide</w:t>
          </w:r>
        </w:p>
        <w:p w:rsidR="00C1129A" w:rsidRPr="00C1129A" w:rsidRDefault="00C1129A" w:rsidP="00C1129A">
          <w:pPr>
            <w:pStyle w:val="Header"/>
            <w:rPr>
              <w:rFonts w:ascii="Arial" w:hAnsi="Arial" w:cs="Arial"/>
              <w:color w:val="004786"/>
              <w:sz w:val="28"/>
              <w:szCs w:val="28"/>
            </w:rPr>
          </w:pPr>
          <w:r w:rsidRPr="00C1129A">
            <w:rPr>
              <w:rFonts w:ascii="Arial" w:hAnsi="Arial" w:cs="Arial"/>
              <w:b/>
              <w:bCs/>
              <w:color w:val="004786"/>
              <w:sz w:val="28"/>
              <w:szCs w:val="28"/>
            </w:rPr>
            <w:t>Federation University Union Collective Agreement 2015-2018 (Academic and General Staff Employees)</w:t>
          </w:r>
        </w:p>
        <w:p w:rsidR="00C1129A" w:rsidRDefault="00C1129A" w:rsidP="00C1129A">
          <w:pPr>
            <w:pStyle w:val="Header"/>
          </w:pPr>
        </w:p>
      </w:tc>
      <w:tc>
        <w:tcPr>
          <w:tcW w:w="5386" w:type="dxa"/>
        </w:tcPr>
        <w:p w:rsidR="00C1129A" w:rsidRDefault="00C1129A" w:rsidP="00C1129A">
          <w:pPr>
            <w:pStyle w:val="Header"/>
            <w:tabs>
              <w:tab w:val="clear" w:pos="4513"/>
            </w:tabs>
            <w:ind w:right="-108"/>
            <w:jc w:val="right"/>
          </w:pPr>
          <w:r>
            <w:rPr>
              <w:noProof/>
              <w:lang w:eastAsia="en-AU"/>
            </w:rPr>
            <w:drawing>
              <wp:anchor distT="0" distB="0" distL="114300" distR="114300" simplePos="0" relativeHeight="251657216" behindDoc="1" locked="0" layoutInCell="1" allowOverlap="1" wp14:anchorId="1D8FB212" wp14:editId="2CAF2C57">
                <wp:simplePos x="0" y="0"/>
                <wp:positionH relativeFrom="column">
                  <wp:posOffset>786291</wp:posOffset>
                </wp:positionH>
                <wp:positionV relativeFrom="page">
                  <wp:posOffset>41910</wp:posOffset>
                </wp:positionV>
                <wp:extent cx="2513330" cy="495300"/>
                <wp:effectExtent l="0" t="0" r="1270" b="0"/>
                <wp:wrapNone/>
                <wp:docPr id="6" name="Picture 6"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C1129A" w:rsidRDefault="00C11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4F54"/>
    <w:multiLevelType w:val="hybridMultilevel"/>
    <w:tmpl w:val="FD38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D4F73"/>
    <w:multiLevelType w:val="hybridMultilevel"/>
    <w:tmpl w:val="4B766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864F8"/>
    <w:multiLevelType w:val="hybridMultilevel"/>
    <w:tmpl w:val="A85A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90B17"/>
    <w:multiLevelType w:val="hybridMultilevel"/>
    <w:tmpl w:val="34EA4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972585"/>
    <w:multiLevelType w:val="hybridMultilevel"/>
    <w:tmpl w:val="2C528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4B73FC"/>
    <w:multiLevelType w:val="hybridMultilevel"/>
    <w:tmpl w:val="9940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805CBB"/>
    <w:multiLevelType w:val="hybridMultilevel"/>
    <w:tmpl w:val="825A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2E0AB2"/>
    <w:multiLevelType w:val="hybridMultilevel"/>
    <w:tmpl w:val="EF2C2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E7363D"/>
    <w:multiLevelType w:val="hybridMultilevel"/>
    <w:tmpl w:val="23B6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9C2D6A"/>
    <w:multiLevelType w:val="hybridMultilevel"/>
    <w:tmpl w:val="EB56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98769B"/>
    <w:multiLevelType w:val="hybridMultilevel"/>
    <w:tmpl w:val="B8AAFD34"/>
    <w:lvl w:ilvl="0" w:tplc="375C4150">
      <w:start w:val="1"/>
      <w:numFmt w:val="bullet"/>
      <w:lvlText w:val="•"/>
      <w:lvlJc w:val="left"/>
      <w:pPr>
        <w:tabs>
          <w:tab w:val="num" w:pos="720"/>
        </w:tabs>
        <w:ind w:left="720" w:hanging="360"/>
      </w:pPr>
      <w:rPr>
        <w:rFonts w:ascii="Arial" w:hAnsi="Arial" w:hint="default"/>
      </w:rPr>
    </w:lvl>
    <w:lvl w:ilvl="1" w:tplc="FF3E9B50" w:tentative="1">
      <w:start w:val="1"/>
      <w:numFmt w:val="bullet"/>
      <w:lvlText w:val="•"/>
      <w:lvlJc w:val="left"/>
      <w:pPr>
        <w:tabs>
          <w:tab w:val="num" w:pos="1440"/>
        </w:tabs>
        <w:ind w:left="1440" w:hanging="360"/>
      </w:pPr>
      <w:rPr>
        <w:rFonts w:ascii="Arial" w:hAnsi="Arial" w:hint="default"/>
      </w:rPr>
    </w:lvl>
    <w:lvl w:ilvl="2" w:tplc="CADAC7FC" w:tentative="1">
      <w:start w:val="1"/>
      <w:numFmt w:val="bullet"/>
      <w:lvlText w:val="•"/>
      <w:lvlJc w:val="left"/>
      <w:pPr>
        <w:tabs>
          <w:tab w:val="num" w:pos="2160"/>
        </w:tabs>
        <w:ind w:left="2160" w:hanging="360"/>
      </w:pPr>
      <w:rPr>
        <w:rFonts w:ascii="Arial" w:hAnsi="Arial" w:hint="default"/>
      </w:rPr>
    </w:lvl>
    <w:lvl w:ilvl="3" w:tplc="B53AED46" w:tentative="1">
      <w:start w:val="1"/>
      <w:numFmt w:val="bullet"/>
      <w:lvlText w:val="•"/>
      <w:lvlJc w:val="left"/>
      <w:pPr>
        <w:tabs>
          <w:tab w:val="num" w:pos="2880"/>
        </w:tabs>
        <w:ind w:left="2880" w:hanging="360"/>
      </w:pPr>
      <w:rPr>
        <w:rFonts w:ascii="Arial" w:hAnsi="Arial" w:hint="default"/>
      </w:rPr>
    </w:lvl>
    <w:lvl w:ilvl="4" w:tplc="502898E2" w:tentative="1">
      <w:start w:val="1"/>
      <w:numFmt w:val="bullet"/>
      <w:lvlText w:val="•"/>
      <w:lvlJc w:val="left"/>
      <w:pPr>
        <w:tabs>
          <w:tab w:val="num" w:pos="3600"/>
        </w:tabs>
        <w:ind w:left="3600" w:hanging="360"/>
      </w:pPr>
      <w:rPr>
        <w:rFonts w:ascii="Arial" w:hAnsi="Arial" w:hint="default"/>
      </w:rPr>
    </w:lvl>
    <w:lvl w:ilvl="5" w:tplc="A454AD18" w:tentative="1">
      <w:start w:val="1"/>
      <w:numFmt w:val="bullet"/>
      <w:lvlText w:val="•"/>
      <w:lvlJc w:val="left"/>
      <w:pPr>
        <w:tabs>
          <w:tab w:val="num" w:pos="4320"/>
        </w:tabs>
        <w:ind w:left="4320" w:hanging="360"/>
      </w:pPr>
      <w:rPr>
        <w:rFonts w:ascii="Arial" w:hAnsi="Arial" w:hint="default"/>
      </w:rPr>
    </w:lvl>
    <w:lvl w:ilvl="6" w:tplc="E4705796" w:tentative="1">
      <w:start w:val="1"/>
      <w:numFmt w:val="bullet"/>
      <w:lvlText w:val="•"/>
      <w:lvlJc w:val="left"/>
      <w:pPr>
        <w:tabs>
          <w:tab w:val="num" w:pos="5040"/>
        </w:tabs>
        <w:ind w:left="5040" w:hanging="360"/>
      </w:pPr>
      <w:rPr>
        <w:rFonts w:ascii="Arial" w:hAnsi="Arial" w:hint="default"/>
      </w:rPr>
    </w:lvl>
    <w:lvl w:ilvl="7" w:tplc="722A4D54" w:tentative="1">
      <w:start w:val="1"/>
      <w:numFmt w:val="bullet"/>
      <w:lvlText w:val="•"/>
      <w:lvlJc w:val="left"/>
      <w:pPr>
        <w:tabs>
          <w:tab w:val="num" w:pos="5760"/>
        </w:tabs>
        <w:ind w:left="5760" w:hanging="360"/>
      </w:pPr>
      <w:rPr>
        <w:rFonts w:ascii="Arial" w:hAnsi="Arial" w:hint="default"/>
      </w:rPr>
    </w:lvl>
    <w:lvl w:ilvl="8" w:tplc="F904BF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2337C9"/>
    <w:multiLevelType w:val="hybridMultilevel"/>
    <w:tmpl w:val="CD364524"/>
    <w:lvl w:ilvl="0" w:tplc="0C090001">
      <w:start w:val="1"/>
      <w:numFmt w:val="bullet"/>
      <w:lvlText w:val=""/>
      <w:lvlJc w:val="left"/>
      <w:pPr>
        <w:tabs>
          <w:tab w:val="num" w:pos="720"/>
        </w:tabs>
        <w:ind w:left="720" w:hanging="360"/>
      </w:pPr>
      <w:rPr>
        <w:rFonts w:ascii="Symbol" w:hAnsi="Symbol" w:hint="default"/>
      </w:rPr>
    </w:lvl>
    <w:lvl w:ilvl="1" w:tplc="FF3E9B50" w:tentative="1">
      <w:start w:val="1"/>
      <w:numFmt w:val="bullet"/>
      <w:lvlText w:val="•"/>
      <w:lvlJc w:val="left"/>
      <w:pPr>
        <w:tabs>
          <w:tab w:val="num" w:pos="1440"/>
        </w:tabs>
        <w:ind w:left="1440" w:hanging="360"/>
      </w:pPr>
      <w:rPr>
        <w:rFonts w:ascii="Arial" w:hAnsi="Arial" w:hint="default"/>
      </w:rPr>
    </w:lvl>
    <w:lvl w:ilvl="2" w:tplc="CADAC7FC" w:tentative="1">
      <w:start w:val="1"/>
      <w:numFmt w:val="bullet"/>
      <w:lvlText w:val="•"/>
      <w:lvlJc w:val="left"/>
      <w:pPr>
        <w:tabs>
          <w:tab w:val="num" w:pos="2160"/>
        </w:tabs>
        <w:ind w:left="2160" w:hanging="360"/>
      </w:pPr>
      <w:rPr>
        <w:rFonts w:ascii="Arial" w:hAnsi="Arial" w:hint="default"/>
      </w:rPr>
    </w:lvl>
    <w:lvl w:ilvl="3" w:tplc="B53AED46" w:tentative="1">
      <w:start w:val="1"/>
      <w:numFmt w:val="bullet"/>
      <w:lvlText w:val="•"/>
      <w:lvlJc w:val="left"/>
      <w:pPr>
        <w:tabs>
          <w:tab w:val="num" w:pos="2880"/>
        </w:tabs>
        <w:ind w:left="2880" w:hanging="360"/>
      </w:pPr>
      <w:rPr>
        <w:rFonts w:ascii="Arial" w:hAnsi="Arial" w:hint="default"/>
      </w:rPr>
    </w:lvl>
    <w:lvl w:ilvl="4" w:tplc="502898E2" w:tentative="1">
      <w:start w:val="1"/>
      <w:numFmt w:val="bullet"/>
      <w:lvlText w:val="•"/>
      <w:lvlJc w:val="left"/>
      <w:pPr>
        <w:tabs>
          <w:tab w:val="num" w:pos="3600"/>
        </w:tabs>
        <w:ind w:left="3600" w:hanging="360"/>
      </w:pPr>
      <w:rPr>
        <w:rFonts w:ascii="Arial" w:hAnsi="Arial" w:hint="default"/>
      </w:rPr>
    </w:lvl>
    <w:lvl w:ilvl="5" w:tplc="A454AD18" w:tentative="1">
      <w:start w:val="1"/>
      <w:numFmt w:val="bullet"/>
      <w:lvlText w:val="•"/>
      <w:lvlJc w:val="left"/>
      <w:pPr>
        <w:tabs>
          <w:tab w:val="num" w:pos="4320"/>
        </w:tabs>
        <w:ind w:left="4320" w:hanging="360"/>
      </w:pPr>
      <w:rPr>
        <w:rFonts w:ascii="Arial" w:hAnsi="Arial" w:hint="default"/>
      </w:rPr>
    </w:lvl>
    <w:lvl w:ilvl="6" w:tplc="E4705796" w:tentative="1">
      <w:start w:val="1"/>
      <w:numFmt w:val="bullet"/>
      <w:lvlText w:val="•"/>
      <w:lvlJc w:val="left"/>
      <w:pPr>
        <w:tabs>
          <w:tab w:val="num" w:pos="5040"/>
        </w:tabs>
        <w:ind w:left="5040" w:hanging="360"/>
      </w:pPr>
      <w:rPr>
        <w:rFonts w:ascii="Arial" w:hAnsi="Arial" w:hint="default"/>
      </w:rPr>
    </w:lvl>
    <w:lvl w:ilvl="7" w:tplc="722A4D54" w:tentative="1">
      <w:start w:val="1"/>
      <w:numFmt w:val="bullet"/>
      <w:lvlText w:val="•"/>
      <w:lvlJc w:val="left"/>
      <w:pPr>
        <w:tabs>
          <w:tab w:val="num" w:pos="5760"/>
        </w:tabs>
        <w:ind w:left="5760" w:hanging="360"/>
      </w:pPr>
      <w:rPr>
        <w:rFonts w:ascii="Arial" w:hAnsi="Arial" w:hint="default"/>
      </w:rPr>
    </w:lvl>
    <w:lvl w:ilvl="8" w:tplc="F904BF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D46D57"/>
    <w:multiLevelType w:val="hybridMultilevel"/>
    <w:tmpl w:val="FBFA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0"/>
  </w:num>
  <w:num w:numId="5">
    <w:abstractNumId w:val="5"/>
  </w:num>
  <w:num w:numId="6">
    <w:abstractNumId w:val="3"/>
  </w:num>
  <w:num w:numId="7">
    <w:abstractNumId w:val="7"/>
  </w:num>
  <w:num w:numId="8">
    <w:abstractNumId w:val="12"/>
  </w:num>
  <w:num w:numId="9">
    <w:abstractNumId w:val="6"/>
  </w:num>
  <w:num w:numId="10">
    <w:abstractNumId w:val="9"/>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V6WwoPrWhzXS9hbKlLt8VZK/HZyst3azN7eGYDxRkgudST76QC12YOsbReKiIlggsD0BZIGX5mK9cR5COF9b4Q==" w:salt="JcI2oPslCeVkZb84Sh1r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21"/>
    <w:rsid w:val="00001EF2"/>
    <w:rsid w:val="000220FD"/>
    <w:rsid w:val="0004468F"/>
    <w:rsid w:val="000470A0"/>
    <w:rsid w:val="0006216D"/>
    <w:rsid w:val="000C58C8"/>
    <w:rsid w:val="000C70EB"/>
    <w:rsid w:val="000D082E"/>
    <w:rsid w:val="000D3FCC"/>
    <w:rsid w:val="000E0BF7"/>
    <w:rsid w:val="000F4C7E"/>
    <w:rsid w:val="00100165"/>
    <w:rsid w:val="00106C43"/>
    <w:rsid w:val="00133203"/>
    <w:rsid w:val="0013564A"/>
    <w:rsid w:val="0014277C"/>
    <w:rsid w:val="0017224A"/>
    <w:rsid w:val="001757D9"/>
    <w:rsid w:val="0019397F"/>
    <w:rsid w:val="001A17E0"/>
    <w:rsid w:val="001B1F62"/>
    <w:rsid w:val="001C0046"/>
    <w:rsid w:val="001D4003"/>
    <w:rsid w:val="001E3B11"/>
    <w:rsid w:val="00206C56"/>
    <w:rsid w:val="00221B00"/>
    <w:rsid w:val="0022374E"/>
    <w:rsid w:val="0022764B"/>
    <w:rsid w:val="00266249"/>
    <w:rsid w:val="00284881"/>
    <w:rsid w:val="002C453E"/>
    <w:rsid w:val="002F2A34"/>
    <w:rsid w:val="002F3CBD"/>
    <w:rsid w:val="00310741"/>
    <w:rsid w:val="003265EA"/>
    <w:rsid w:val="00372B9D"/>
    <w:rsid w:val="003B48D3"/>
    <w:rsid w:val="003E5440"/>
    <w:rsid w:val="004062A1"/>
    <w:rsid w:val="00423665"/>
    <w:rsid w:val="00425FC7"/>
    <w:rsid w:val="004348E8"/>
    <w:rsid w:val="00466212"/>
    <w:rsid w:val="004813E7"/>
    <w:rsid w:val="0048317E"/>
    <w:rsid w:val="0048446D"/>
    <w:rsid w:val="004854DE"/>
    <w:rsid w:val="00491DA2"/>
    <w:rsid w:val="00496917"/>
    <w:rsid w:val="004D085C"/>
    <w:rsid w:val="004F6DC2"/>
    <w:rsid w:val="005317B7"/>
    <w:rsid w:val="00537F28"/>
    <w:rsid w:val="00542271"/>
    <w:rsid w:val="00580974"/>
    <w:rsid w:val="00580BD1"/>
    <w:rsid w:val="005B4300"/>
    <w:rsid w:val="005E7AC3"/>
    <w:rsid w:val="005F1D1B"/>
    <w:rsid w:val="00624D3B"/>
    <w:rsid w:val="00626E3E"/>
    <w:rsid w:val="0063124E"/>
    <w:rsid w:val="00634637"/>
    <w:rsid w:val="00636B2C"/>
    <w:rsid w:val="0066103D"/>
    <w:rsid w:val="006812FE"/>
    <w:rsid w:val="006850CB"/>
    <w:rsid w:val="00694ED7"/>
    <w:rsid w:val="00696DD7"/>
    <w:rsid w:val="006A010D"/>
    <w:rsid w:val="006D3A51"/>
    <w:rsid w:val="006E3A58"/>
    <w:rsid w:val="006F6442"/>
    <w:rsid w:val="006F66D7"/>
    <w:rsid w:val="006F6B34"/>
    <w:rsid w:val="007112D5"/>
    <w:rsid w:val="007139C2"/>
    <w:rsid w:val="0074128A"/>
    <w:rsid w:val="0076763C"/>
    <w:rsid w:val="00774136"/>
    <w:rsid w:val="007902E8"/>
    <w:rsid w:val="007938A6"/>
    <w:rsid w:val="007D376F"/>
    <w:rsid w:val="007E592B"/>
    <w:rsid w:val="007E6762"/>
    <w:rsid w:val="008157DB"/>
    <w:rsid w:val="00826FBA"/>
    <w:rsid w:val="00840451"/>
    <w:rsid w:val="00876DC6"/>
    <w:rsid w:val="008F499D"/>
    <w:rsid w:val="009064F1"/>
    <w:rsid w:val="00940D25"/>
    <w:rsid w:val="009864B0"/>
    <w:rsid w:val="00994ECC"/>
    <w:rsid w:val="009A35DC"/>
    <w:rsid w:val="009E63A6"/>
    <w:rsid w:val="009E6CEB"/>
    <w:rsid w:val="009F4271"/>
    <w:rsid w:val="00A02DCA"/>
    <w:rsid w:val="00A074F9"/>
    <w:rsid w:val="00A46FFF"/>
    <w:rsid w:val="00A5475E"/>
    <w:rsid w:val="00A8514F"/>
    <w:rsid w:val="00A85CAA"/>
    <w:rsid w:val="00A87705"/>
    <w:rsid w:val="00A87722"/>
    <w:rsid w:val="00A94E5F"/>
    <w:rsid w:val="00A95793"/>
    <w:rsid w:val="00AA712B"/>
    <w:rsid w:val="00AC3E9E"/>
    <w:rsid w:val="00AD55F9"/>
    <w:rsid w:val="00B0224B"/>
    <w:rsid w:val="00B20F34"/>
    <w:rsid w:val="00B43FE4"/>
    <w:rsid w:val="00B811C8"/>
    <w:rsid w:val="00B8588A"/>
    <w:rsid w:val="00BA12EA"/>
    <w:rsid w:val="00BB3441"/>
    <w:rsid w:val="00BC770D"/>
    <w:rsid w:val="00BE6FD2"/>
    <w:rsid w:val="00C07C37"/>
    <w:rsid w:val="00C1129A"/>
    <w:rsid w:val="00C20E14"/>
    <w:rsid w:val="00C25E2A"/>
    <w:rsid w:val="00C47247"/>
    <w:rsid w:val="00C75853"/>
    <w:rsid w:val="00C922CA"/>
    <w:rsid w:val="00C96384"/>
    <w:rsid w:val="00CB2C07"/>
    <w:rsid w:val="00CB35A1"/>
    <w:rsid w:val="00CE07B7"/>
    <w:rsid w:val="00CF557C"/>
    <w:rsid w:val="00D069DB"/>
    <w:rsid w:val="00D160DE"/>
    <w:rsid w:val="00D22947"/>
    <w:rsid w:val="00D41779"/>
    <w:rsid w:val="00D45F4C"/>
    <w:rsid w:val="00D5746F"/>
    <w:rsid w:val="00D7347C"/>
    <w:rsid w:val="00D8244E"/>
    <w:rsid w:val="00D856DC"/>
    <w:rsid w:val="00D90C63"/>
    <w:rsid w:val="00DC0E9B"/>
    <w:rsid w:val="00DC7C29"/>
    <w:rsid w:val="00DE2D8C"/>
    <w:rsid w:val="00E05356"/>
    <w:rsid w:val="00E23403"/>
    <w:rsid w:val="00E42F51"/>
    <w:rsid w:val="00E5437F"/>
    <w:rsid w:val="00E80155"/>
    <w:rsid w:val="00E979BC"/>
    <w:rsid w:val="00EC2D13"/>
    <w:rsid w:val="00ED3ACC"/>
    <w:rsid w:val="00ED3D3E"/>
    <w:rsid w:val="00EF59B0"/>
    <w:rsid w:val="00F119C6"/>
    <w:rsid w:val="00F24E3C"/>
    <w:rsid w:val="00F33A3B"/>
    <w:rsid w:val="00F4735E"/>
    <w:rsid w:val="00F47382"/>
    <w:rsid w:val="00F54634"/>
    <w:rsid w:val="00F554A3"/>
    <w:rsid w:val="00F71447"/>
    <w:rsid w:val="00F925FE"/>
    <w:rsid w:val="00F965A5"/>
    <w:rsid w:val="00FB57B3"/>
    <w:rsid w:val="00FC36B9"/>
    <w:rsid w:val="00FD30F5"/>
    <w:rsid w:val="00FD7E21"/>
    <w:rsid w:val="00FE48C6"/>
    <w:rsid w:val="00FF5B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CE2C9-2CC6-4DB4-A3E4-D5F2971C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E2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7E21"/>
    <w:rPr>
      <w:color w:val="0000FF" w:themeColor="hyperlink"/>
      <w:u w:val="single"/>
    </w:rPr>
  </w:style>
  <w:style w:type="paragraph" w:customStyle="1" w:styleId="agpsbold">
    <w:name w:val="agpsbold"/>
    <w:basedOn w:val="Normal"/>
    <w:uiPriority w:val="99"/>
    <w:rsid w:val="00626E3E"/>
    <w:pPr>
      <w:spacing w:after="0" w:line="240" w:lineRule="auto"/>
    </w:pPr>
    <w:rPr>
      <w:rFonts w:ascii="Courier New" w:eastAsia="Times New Roman" w:hAnsi="Courier New" w:cs="Times New Roman"/>
      <w:b/>
      <w:sz w:val="24"/>
      <w:szCs w:val="20"/>
    </w:rPr>
  </w:style>
  <w:style w:type="paragraph" w:styleId="ListParagraph">
    <w:name w:val="List Paragraph"/>
    <w:basedOn w:val="Normal"/>
    <w:uiPriority w:val="34"/>
    <w:qFormat/>
    <w:rsid w:val="004348E8"/>
    <w:pPr>
      <w:ind w:left="720"/>
      <w:contextualSpacing/>
    </w:pPr>
  </w:style>
  <w:style w:type="paragraph" w:styleId="BalloonText">
    <w:name w:val="Balloon Text"/>
    <w:basedOn w:val="Normal"/>
    <w:link w:val="BalloonTextChar"/>
    <w:uiPriority w:val="99"/>
    <w:semiHidden/>
    <w:unhideWhenUsed/>
    <w:rsid w:val="00B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1C8"/>
    <w:rPr>
      <w:rFonts w:ascii="Tahoma" w:hAnsi="Tahoma" w:cs="Tahoma"/>
      <w:sz w:val="16"/>
      <w:szCs w:val="16"/>
    </w:rPr>
  </w:style>
  <w:style w:type="paragraph" w:styleId="Header">
    <w:name w:val="header"/>
    <w:basedOn w:val="Normal"/>
    <w:link w:val="HeaderChar"/>
    <w:uiPriority w:val="99"/>
    <w:unhideWhenUsed/>
    <w:rsid w:val="00C11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29A"/>
  </w:style>
  <w:style w:type="paragraph" w:styleId="Footer">
    <w:name w:val="footer"/>
    <w:basedOn w:val="Normal"/>
    <w:link w:val="FooterChar"/>
    <w:uiPriority w:val="99"/>
    <w:unhideWhenUsed/>
    <w:rsid w:val="00C11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29A"/>
  </w:style>
  <w:style w:type="table" w:styleId="TableGrid">
    <w:name w:val="Table Grid"/>
    <w:aliases w:val="UB Table Grid"/>
    <w:basedOn w:val="TableNormal"/>
    <w:uiPriority w:val="59"/>
    <w:rsid w:val="00C11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531480">
      <w:bodyDiv w:val="1"/>
      <w:marLeft w:val="0"/>
      <w:marRight w:val="0"/>
      <w:marTop w:val="0"/>
      <w:marBottom w:val="0"/>
      <w:divBdr>
        <w:top w:val="none" w:sz="0" w:space="0" w:color="auto"/>
        <w:left w:val="none" w:sz="0" w:space="0" w:color="auto"/>
        <w:bottom w:val="none" w:sz="0" w:space="0" w:color="auto"/>
        <w:right w:val="none" w:sz="0" w:space="0" w:color="auto"/>
      </w:divBdr>
      <w:divsChild>
        <w:div w:id="772483273">
          <w:marLeft w:val="547"/>
          <w:marRight w:val="0"/>
          <w:marTop w:val="77"/>
          <w:marBottom w:val="600"/>
          <w:divBdr>
            <w:top w:val="none" w:sz="0" w:space="0" w:color="auto"/>
            <w:left w:val="none" w:sz="0" w:space="0" w:color="auto"/>
            <w:bottom w:val="none" w:sz="0" w:space="0" w:color="auto"/>
            <w:right w:val="none" w:sz="0" w:space="0" w:color="auto"/>
          </w:divBdr>
        </w:div>
        <w:div w:id="822043464">
          <w:marLeft w:val="547"/>
          <w:marRight w:val="0"/>
          <w:marTop w:val="77"/>
          <w:marBottom w:val="600"/>
          <w:divBdr>
            <w:top w:val="none" w:sz="0" w:space="0" w:color="auto"/>
            <w:left w:val="none" w:sz="0" w:space="0" w:color="auto"/>
            <w:bottom w:val="none" w:sz="0" w:space="0" w:color="auto"/>
            <w:right w:val="none" w:sz="0" w:space="0" w:color="auto"/>
          </w:divBdr>
        </w:div>
        <w:div w:id="1195656842">
          <w:marLeft w:val="547"/>
          <w:marRight w:val="0"/>
          <w:marTop w:val="77"/>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eration.edu.au/__data/assets/word_doc/0007/267775/Proposed-2015-2018-UCA.docx" TargetMode="External"/><Relationship Id="rId18" Type="http://schemas.openxmlformats.org/officeDocument/2006/relationships/hyperlink" Target="http://federation.edu.au/__data/assets/word_doc/0007/267775/Proposed-2015-2018-UCA.docx" TargetMode="External"/><Relationship Id="rId26" Type="http://schemas.openxmlformats.org/officeDocument/2006/relationships/hyperlink" Target="http://federation.edu.au/__data/assets/word_doc/0007/267775/Proposed-2015-2018-UCA.docx" TargetMode="External"/><Relationship Id="rId39" Type="http://schemas.openxmlformats.org/officeDocument/2006/relationships/hyperlink" Target="http://federation.edu.au/__data/assets/word_doc/0007/267775/Proposed-2015-2018-UCA.docx" TargetMode="External"/><Relationship Id="rId3" Type="http://schemas.openxmlformats.org/officeDocument/2006/relationships/styles" Target="styles.xml"/><Relationship Id="rId21" Type="http://schemas.openxmlformats.org/officeDocument/2006/relationships/hyperlink" Target="http://federation.edu.au/__data/assets/word_doc/0007/267775/Proposed-2015-2018-UCA.docx" TargetMode="External"/><Relationship Id="rId34" Type="http://schemas.openxmlformats.org/officeDocument/2006/relationships/hyperlink" Target="http://federation.edu.au/__data/assets/word_doc/0007/267775/Proposed-2015-2018-UCA.docx" TargetMode="External"/><Relationship Id="rId42" Type="http://schemas.openxmlformats.org/officeDocument/2006/relationships/hyperlink" Target="http://federation.edu.au/__data/assets/word_doc/0007/267775/Proposed-2015-2018-UCA.docx" TargetMode="External"/><Relationship Id="rId47" Type="http://schemas.openxmlformats.org/officeDocument/2006/relationships/hyperlink" Target="http://federation.edu.au/__data/assets/word_doc/0007/267775/Proposed-2015-2018-UCA.docx" TargetMode="External"/><Relationship Id="rId50" Type="http://schemas.openxmlformats.org/officeDocument/2006/relationships/hyperlink" Target="http://federation.edu.au/__data/assets/word_doc/0007/267775/Proposed-2015-2018-UCA.docx" TargetMode="External"/><Relationship Id="rId7" Type="http://schemas.openxmlformats.org/officeDocument/2006/relationships/endnotes" Target="endnotes.xml"/><Relationship Id="rId12" Type="http://schemas.openxmlformats.org/officeDocument/2006/relationships/hyperlink" Target="http://federation.edu.au/__data/assets/word_doc/0007/267775/Proposed-2015-2018-UCA.docx" TargetMode="External"/><Relationship Id="rId17" Type="http://schemas.openxmlformats.org/officeDocument/2006/relationships/hyperlink" Target="http://federation.edu.au/__data/assets/word_doc/0007/267775/Proposed-2015-2018-UCA.docx" TargetMode="External"/><Relationship Id="rId25" Type="http://schemas.openxmlformats.org/officeDocument/2006/relationships/hyperlink" Target="http://federation.edu.au/__data/assets/word_doc/0007/267775/Proposed-2015-2018-UCA.docx" TargetMode="External"/><Relationship Id="rId33" Type="http://schemas.openxmlformats.org/officeDocument/2006/relationships/hyperlink" Target="http://federation.edu.au/__data/assets/word_doc/0007/267775/Proposed-2015-2018-UCA.docx" TargetMode="External"/><Relationship Id="rId38" Type="http://schemas.openxmlformats.org/officeDocument/2006/relationships/hyperlink" Target="http://federation.edu.au/__data/assets/word_doc/0007/267775/Proposed-2015-2018-UCA.docx" TargetMode="External"/><Relationship Id="rId46" Type="http://schemas.openxmlformats.org/officeDocument/2006/relationships/hyperlink" Target="http://federation.edu.au/__data/assets/word_doc/0007/267775/Proposed-2015-2018-UCA.docx" TargetMode="External"/><Relationship Id="rId2" Type="http://schemas.openxmlformats.org/officeDocument/2006/relationships/numbering" Target="numbering.xml"/><Relationship Id="rId16" Type="http://schemas.openxmlformats.org/officeDocument/2006/relationships/hyperlink" Target="http://federation.edu.au/__data/assets/word_doc/0007/267775/Proposed-2015-2018-UCA.docx" TargetMode="External"/><Relationship Id="rId20" Type="http://schemas.openxmlformats.org/officeDocument/2006/relationships/footer" Target="footer1.xml"/><Relationship Id="rId29" Type="http://schemas.openxmlformats.org/officeDocument/2006/relationships/hyperlink" Target="http://federation.edu.au/__data/assets/word_doc/0007/267775/Proposed-2015-2018-UCA.docx" TargetMode="External"/><Relationship Id="rId41" Type="http://schemas.openxmlformats.org/officeDocument/2006/relationships/hyperlink" Target="http://federation.edu.au/__data/assets/word_doc/0007/267775/Proposed-2015-2018-UC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eration.edu.au/__data/assets/word_doc/0007/267775/Proposed-2015-2018-UCA.docx" TargetMode="External"/><Relationship Id="rId24" Type="http://schemas.openxmlformats.org/officeDocument/2006/relationships/hyperlink" Target="http://federation.edu.au/__data/assets/word_doc/0007/267775/Proposed-2015-2018-UCA.docx" TargetMode="External"/><Relationship Id="rId32" Type="http://schemas.openxmlformats.org/officeDocument/2006/relationships/hyperlink" Target="http://federation.edu.au/__data/assets/word_doc/0007/267775/Proposed-2015-2018-UCA.docx" TargetMode="External"/><Relationship Id="rId37" Type="http://schemas.openxmlformats.org/officeDocument/2006/relationships/hyperlink" Target="http://federation.edu.au/__data/assets/word_doc/0007/267775/Proposed-2015-2018-UCA.docx" TargetMode="External"/><Relationship Id="rId40" Type="http://schemas.openxmlformats.org/officeDocument/2006/relationships/hyperlink" Target="http://federation.edu.au/__data/assets/word_doc/0007/267775/Proposed-2015-2018-UCA.docx" TargetMode="External"/><Relationship Id="rId45" Type="http://schemas.openxmlformats.org/officeDocument/2006/relationships/hyperlink" Target="http://federation.edu.au/__data/assets/word_doc/0007/267775/Proposed-2015-2018-UCA.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ederation.edu.au/__data/assets/word_doc/0007/267775/Proposed-2015-2018-UCA.docx" TargetMode="External"/><Relationship Id="rId23" Type="http://schemas.openxmlformats.org/officeDocument/2006/relationships/hyperlink" Target="http://federation.edu.au/__data/assets/word_doc/0007/267775/Proposed-2015-2018-UCA.docx" TargetMode="External"/><Relationship Id="rId28" Type="http://schemas.openxmlformats.org/officeDocument/2006/relationships/hyperlink" Target="http://federation.edu.au/__data/assets/word_doc/0007/267775/Proposed-2015-2018-UCA.docx" TargetMode="External"/><Relationship Id="rId36" Type="http://schemas.openxmlformats.org/officeDocument/2006/relationships/hyperlink" Target="http://federation.edu.au/__data/assets/word_doc/0007/267775/Proposed-2015-2018-UCA.docx" TargetMode="External"/><Relationship Id="rId49" Type="http://schemas.openxmlformats.org/officeDocument/2006/relationships/hyperlink" Target="http://federation.edu.au/__data/assets/word_doc/0007/267775/Proposed-2015-2018-UCA.docx" TargetMode="External"/><Relationship Id="rId10" Type="http://schemas.openxmlformats.org/officeDocument/2006/relationships/hyperlink" Target="http://federation.edu.au/__data/assets/word_doc/0007/267775/Proposed-2015-2018-UCA.docx" TargetMode="External"/><Relationship Id="rId19" Type="http://schemas.openxmlformats.org/officeDocument/2006/relationships/header" Target="header1.xml"/><Relationship Id="rId31" Type="http://schemas.openxmlformats.org/officeDocument/2006/relationships/hyperlink" Target="http://federation.edu.au/__data/assets/word_doc/0007/267775/Proposed-2015-2018-UCA.docx" TargetMode="External"/><Relationship Id="rId44" Type="http://schemas.openxmlformats.org/officeDocument/2006/relationships/hyperlink" Target="http://federation.edu.au/__data/assets/word_doc/0007/267775/Proposed-2015-2018-UCA.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federation.edu.au" TargetMode="External"/><Relationship Id="rId14" Type="http://schemas.openxmlformats.org/officeDocument/2006/relationships/hyperlink" Target="http://federation.edu.au/__data/assets/word_doc/0007/267775/Proposed-2015-2018-UCA.docx" TargetMode="External"/><Relationship Id="rId22" Type="http://schemas.openxmlformats.org/officeDocument/2006/relationships/hyperlink" Target="http://federation.edu.au/__data/assets/word_doc/0007/267775/Proposed-2015-2018-UCA.docx" TargetMode="External"/><Relationship Id="rId27" Type="http://schemas.openxmlformats.org/officeDocument/2006/relationships/hyperlink" Target="http://federation.edu.au/__data/assets/word_doc/0007/267775/Proposed-2015-2018-UCA.docx" TargetMode="External"/><Relationship Id="rId30" Type="http://schemas.openxmlformats.org/officeDocument/2006/relationships/hyperlink" Target="http://federation.edu.au/__data/assets/word_doc/0007/267775/Proposed-2015-2018-UCA.docx" TargetMode="External"/><Relationship Id="rId35" Type="http://schemas.openxmlformats.org/officeDocument/2006/relationships/hyperlink" Target="http://federation.edu.au/__data/assets/word_doc/0007/267775/Proposed-2015-2018-UCA.docx" TargetMode="External"/><Relationship Id="rId43" Type="http://schemas.openxmlformats.org/officeDocument/2006/relationships/hyperlink" Target="http://federation.edu.au/__data/assets/word_doc/0007/267775/Proposed-2015-2018-UCA.docx" TargetMode="External"/><Relationship Id="rId48" Type="http://schemas.openxmlformats.org/officeDocument/2006/relationships/hyperlink" Target="http://federation.edu.au/__data/assets/word_doc/0007/267775/Proposed-2015-2018-UCA.docx" TargetMode="External"/><Relationship Id="rId8" Type="http://schemas.openxmlformats.org/officeDocument/2006/relationships/hyperlink" Target="http://federation.edu.au/__data/assets/word_doc/0007/267775/Proposed-2015-2018-UCA.docx" TargetMode="External"/><Relationship Id="rId51" Type="http://schemas.openxmlformats.org/officeDocument/2006/relationships/hyperlink" Target="http://federation.edu.au/__data/assets/word_doc/0007/267775/Proposed-2015-2018-UCA.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D6DE-0F48-4929-A4BB-464FCEF3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3576</Words>
  <Characters>20169</Characters>
  <Application>Microsoft Office Word</Application>
  <DocSecurity>8</DocSecurity>
  <Lines>429</Lines>
  <Paragraphs>320</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Shelley Nash</cp:lastModifiedBy>
  <cp:revision>9</cp:revision>
  <cp:lastPrinted>2015-08-26T06:04:00Z</cp:lastPrinted>
  <dcterms:created xsi:type="dcterms:W3CDTF">2015-08-27T08:30:00Z</dcterms:created>
  <dcterms:modified xsi:type="dcterms:W3CDTF">2015-08-27T09:07:00Z</dcterms:modified>
</cp:coreProperties>
</file>